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B752D" w14:textId="0473A58A" w:rsidR="00E90E49" w:rsidRPr="00F309F7" w:rsidRDefault="00E90E49" w:rsidP="00E35559">
      <w:pPr>
        <w:pStyle w:val="3GPPHeader"/>
        <w:spacing w:after="60"/>
        <w:rPr>
          <w:sz w:val="28"/>
          <w:szCs w:val="32"/>
          <w:highlight w:val="yellow"/>
        </w:rPr>
      </w:pPr>
      <w:r w:rsidRPr="00CE0424">
        <w:t>3GPP TSG-RAN WG</w:t>
      </w:r>
      <w:r w:rsidR="00F20F5C">
        <w:t>2</w:t>
      </w:r>
      <w:r w:rsidRPr="00CE0424">
        <w:t xml:space="preserve"> #</w:t>
      </w:r>
      <w:r w:rsidR="00F20F5C">
        <w:t>1</w:t>
      </w:r>
      <w:r w:rsidR="00C268E6">
        <w:t>1</w:t>
      </w:r>
      <w:r w:rsidR="00121375">
        <w:t>4</w:t>
      </w:r>
      <w:r w:rsidR="008D6252">
        <w:t>-</w:t>
      </w:r>
      <w:r w:rsidR="00F20F5C">
        <w:t>e</w:t>
      </w:r>
      <w:r w:rsidRPr="00CE0424">
        <w:tab/>
      </w:r>
      <w:bookmarkStart w:id="0" w:name="_GoBack"/>
      <w:r w:rsidR="00F309F7" w:rsidRPr="00F309F7">
        <w:rPr>
          <w:rFonts w:cs="Arial"/>
          <w:bCs/>
          <w:szCs w:val="26"/>
        </w:rPr>
        <w:t>R2-2106080</w:t>
      </w:r>
      <w:bookmarkEnd w:id="0"/>
    </w:p>
    <w:p w14:paraId="0C6B28B3" w14:textId="05B1F61D" w:rsidR="00E90E49" w:rsidRPr="00CE0424" w:rsidRDefault="00C268E6" w:rsidP="00311702">
      <w:pPr>
        <w:pStyle w:val="3GPPHeader"/>
      </w:pPr>
      <w:r>
        <w:t xml:space="preserve">Electronic meeting, </w:t>
      </w:r>
      <w:r w:rsidR="00121375">
        <w:t>May</w:t>
      </w:r>
      <w:r>
        <w:t xml:space="preserve"> </w:t>
      </w:r>
      <w:r w:rsidR="008D6252">
        <w:t>1</w:t>
      </w:r>
      <w:r w:rsidR="00121375">
        <w:t>9</w:t>
      </w:r>
      <w:r w:rsidR="009D7652" w:rsidRPr="009D7652">
        <w:rPr>
          <w:vertAlign w:val="superscript"/>
        </w:rPr>
        <w:t>th</w:t>
      </w:r>
      <w:r w:rsidR="009D7652">
        <w:t xml:space="preserve"> </w:t>
      </w:r>
      <w:r>
        <w:t xml:space="preserve">– </w:t>
      </w:r>
      <w:r w:rsidR="008D6252">
        <w:t>2</w:t>
      </w:r>
      <w:r w:rsidR="00121375">
        <w:t>7</w:t>
      </w:r>
      <w:r w:rsidR="00BD5B5F" w:rsidRPr="00BD5B5F">
        <w:rPr>
          <w:vertAlign w:val="superscript"/>
        </w:rPr>
        <w:t>th</w:t>
      </w:r>
      <w:r w:rsidR="00BD5B5F">
        <w:t xml:space="preserve"> </w:t>
      </w:r>
      <w:r>
        <w:t>202</w:t>
      </w:r>
      <w:r w:rsidR="00BD5B5F">
        <w:t>1</w:t>
      </w:r>
    </w:p>
    <w:p w14:paraId="06051D58" w14:textId="77777777" w:rsidR="00E90E49" w:rsidRPr="00CE0424" w:rsidRDefault="00E90E49" w:rsidP="00357380">
      <w:pPr>
        <w:pStyle w:val="3GPPHeader"/>
      </w:pPr>
    </w:p>
    <w:p w14:paraId="0D4362EF" w14:textId="0F21182B" w:rsidR="00E90E49" w:rsidRPr="00F20CAB" w:rsidRDefault="00E90E49" w:rsidP="00311702">
      <w:pPr>
        <w:pStyle w:val="3GPPHeader"/>
        <w:rPr>
          <w:sz w:val="22"/>
          <w:szCs w:val="22"/>
          <w:lang w:val="en-US"/>
        </w:rPr>
      </w:pPr>
      <w:r w:rsidRPr="00F20CAB">
        <w:rPr>
          <w:sz w:val="22"/>
          <w:szCs w:val="22"/>
          <w:lang w:val="en-US"/>
        </w:rPr>
        <w:t>Agenda Item:</w:t>
      </w:r>
      <w:r w:rsidRPr="00F20CAB">
        <w:rPr>
          <w:sz w:val="22"/>
          <w:szCs w:val="22"/>
          <w:lang w:val="en-US"/>
        </w:rPr>
        <w:tab/>
      </w:r>
      <w:r w:rsidR="00D72970" w:rsidRPr="00F20CAB">
        <w:rPr>
          <w:sz w:val="22"/>
          <w:szCs w:val="22"/>
          <w:lang w:val="en-US"/>
        </w:rPr>
        <w:t>9.1.2</w:t>
      </w:r>
    </w:p>
    <w:p w14:paraId="6D37138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F45444" w14:textId="3CAE1232" w:rsidR="00E90E49" w:rsidRPr="00CE0424" w:rsidRDefault="003D3C45" w:rsidP="00311702">
      <w:pPr>
        <w:pStyle w:val="3GPPHeader"/>
        <w:rPr>
          <w:sz w:val="22"/>
          <w:szCs w:val="22"/>
        </w:rPr>
      </w:pPr>
      <w:r>
        <w:rPr>
          <w:sz w:val="22"/>
          <w:szCs w:val="22"/>
        </w:rPr>
        <w:t>Title:</w:t>
      </w:r>
      <w:r w:rsidR="00E90E49" w:rsidRPr="00CE0424">
        <w:rPr>
          <w:sz w:val="22"/>
          <w:szCs w:val="22"/>
        </w:rPr>
        <w:tab/>
      </w:r>
      <w:r w:rsidR="008D6252">
        <w:rPr>
          <w:sz w:val="22"/>
          <w:szCs w:val="22"/>
        </w:rPr>
        <w:t xml:space="preserve">Discussion on </w:t>
      </w:r>
      <w:r w:rsidR="00121375">
        <w:rPr>
          <w:sz w:val="22"/>
          <w:szCs w:val="22"/>
        </w:rPr>
        <w:t>connected mode measurement</w:t>
      </w:r>
      <w:r w:rsidR="00621BED">
        <w:rPr>
          <w:sz w:val="22"/>
          <w:szCs w:val="22"/>
        </w:rPr>
        <w:t xml:space="preserve"> in NB-</w:t>
      </w:r>
      <w:r w:rsidR="00B427B9">
        <w:rPr>
          <w:sz w:val="22"/>
          <w:szCs w:val="22"/>
        </w:rPr>
        <w:t>IoT</w:t>
      </w:r>
    </w:p>
    <w:p w14:paraId="5C51A03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01F46">
        <w:rPr>
          <w:sz w:val="22"/>
          <w:szCs w:val="22"/>
        </w:rPr>
        <w:t>Discussion, Decision</w:t>
      </w:r>
    </w:p>
    <w:p w14:paraId="427C9DB9" w14:textId="77777777" w:rsidR="00E90E49" w:rsidRPr="00CE0424" w:rsidRDefault="00E90E49" w:rsidP="00E90E49"/>
    <w:p w14:paraId="41BB9514" w14:textId="77777777" w:rsidR="00E90E49" w:rsidRPr="00CE0424" w:rsidRDefault="00230D18" w:rsidP="00CE0424">
      <w:pPr>
        <w:pStyle w:val="Heading1"/>
      </w:pPr>
      <w:r>
        <w:t>1</w:t>
      </w:r>
      <w:r>
        <w:tab/>
      </w:r>
      <w:r w:rsidR="00E90E49" w:rsidRPr="00CE0424">
        <w:t>Introduction</w:t>
      </w:r>
    </w:p>
    <w:p w14:paraId="5452F60F" w14:textId="483F8DF0" w:rsidR="00477768" w:rsidRDefault="00381C29" w:rsidP="00CE0424">
      <w:pPr>
        <w:pStyle w:val="BodyText"/>
      </w:pPr>
      <w:r>
        <w:t>In Rel-17</w:t>
      </w:r>
      <w:r w:rsidR="00FF2AAE">
        <w:t>,</w:t>
      </w:r>
      <w:r>
        <w:t xml:space="preserve"> one of the </w:t>
      </w:r>
      <w:r w:rsidR="00872070">
        <w:t>objectives in</w:t>
      </w:r>
      <w:r w:rsidR="00FF2AAE">
        <w:t xml:space="preserve"> the</w:t>
      </w:r>
      <w:r w:rsidR="00872070">
        <w:t xml:space="preserve"> </w:t>
      </w:r>
      <w:r>
        <w:t>WI</w:t>
      </w:r>
      <w:r w:rsidR="00872070">
        <w:t>D</w:t>
      </w:r>
      <w:r>
        <w:t xml:space="preserve"> is</w:t>
      </w:r>
      <w:r w:rsidR="00872070">
        <w:t xml:space="preserve"> [WID’s T-doc]</w:t>
      </w:r>
      <w:r>
        <w:t>:</w:t>
      </w:r>
    </w:p>
    <w:p w14:paraId="0DB67678" w14:textId="328FC1F6" w:rsidR="00381C29" w:rsidRDefault="00381C29" w:rsidP="00381C29">
      <w:pPr>
        <w:widowControl w:val="0"/>
        <w:numPr>
          <w:ilvl w:val="0"/>
          <w:numId w:val="23"/>
        </w:numPr>
        <w:overflowPunct/>
        <w:autoSpaceDE/>
        <w:adjustRightInd/>
        <w:spacing w:after="0" w:line="360" w:lineRule="auto"/>
        <w:contextualSpacing/>
        <w:jc w:val="both"/>
        <w:textAlignment w:val="auto"/>
        <w:rPr>
          <w:rFonts w:eastAsia="DengXian"/>
          <w:lang w:val="en-US" w:eastAsia="zh-CN"/>
        </w:rPr>
      </w:pPr>
      <w:r>
        <w:rPr>
          <w:rFonts w:eastAsia="DengXian"/>
          <w:lang w:val="en-US" w:eastAsia="zh-CN"/>
        </w:rPr>
        <w:t xml:space="preserve">Specify signaling for neighbor cell measurements and corresponding measurement triggering before RLF, to </w:t>
      </w:r>
      <w:bookmarkStart w:id="1" w:name="_Hlk54086256"/>
      <w:r>
        <w:rPr>
          <w:rFonts w:eastAsia="DengXian"/>
          <w:lang w:val="en-US" w:eastAsia="zh-CN"/>
        </w:rPr>
        <w:t>reduce the time taken to RRC reestablishment to another cell</w:t>
      </w:r>
      <w:bookmarkEnd w:id="1"/>
      <w:r>
        <w:rPr>
          <w:rFonts w:eastAsia="DengXian"/>
          <w:lang w:val="en-US" w:eastAsia="zh-CN"/>
        </w:rPr>
        <w:t>, without defining specific gaps. [NB-IoT] [RAN2, RAN4].</w:t>
      </w:r>
    </w:p>
    <w:p w14:paraId="5010B749" w14:textId="2C5438D9" w:rsidR="00FA5AD7" w:rsidRDefault="00FA5AD7" w:rsidP="00FA5AD7">
      <w:pPr>
        <w:widowControl w:val="0"/>
        <w:overflowPunct/>
        <w:autoSpaceDE/>
        <w:adjustRightInd/>
        <w:spacing w:after="0" w:line="360" w:lineRule="auto"/>
        <w:contextualSpacing/>
        <w:jc w:val="both"/>
        <w:textAlignment w:val="auto"/>
        <w:rPr>
          <w:rFonts w:eastAsia="DengXian"/>
          <w:lang w:val="en-US" w:eastAsia="zh-CN"/>
        </w:rPr>
      </w:pPr>
    </w:p>
    <w:p w14:paraId="7D3A3AEB" w14:textId="77777777" w:rsidR="00FA5AD7" w:rsidRDefault="00FA5AD7" w:rsidP="00FA5AD7">
      <w:pPr>
        <w:spacing w:line="276" w:lineRule="auto"/>
        <w:jc w:val="both"/>
        <w:rPr>
          <w:rFonts w:eastAsia="MS Mincho" w:cs="Arial"/>
          <w:lang w:val="en-US"/>
        </w:rPr>
      </w:pPr>
      <w:r>
        <w:rPr>
          <w:rFonts w:eastAsia="MS Mincho" w:cs="Arial"/>
          <w:highlight w:val="green"/>
          <w:lang w:val="en-US"/>
        </w:rPr>
        <w:t>RAN2#111-e agreements:</w:t>
      </w:r>
    </w:p>
    <w:p w14:paraId="3DF35137" w14:textId="77777777" w:rsidR="00FA5AD7" w:rsidRDefault="00FA5AD7" w:rsidP="00FA5AD7">
      <w:pPr>
        <w:pStyle w:val="Agreement"/>
        <w:spacing w:line="276" w:lineRule="auto"/>
        <w:jc w:val="both"/>
        <w:rPr>
          <w:b w:val="0"/>
        </w:rPr>
      </w:pPr>
      <w:r>
        <w:rPr>
          <w:b w:val="0"/>
        </w:rPr>
        <w:t>Study current RLF procedure to understand the time taken to select the cell for access. Start and end points FFS.</w:t>
      </w:r>
    </w:p>
    <w:p w14:paraId="3A7F90F5" w14:textId="77777777" w:rsidR="00FA5AD7" w:rsidRDefault="00FA5AD7" w:rsidP="00FA5AD7">
      <w:pPr>
        <w:pStyle w:val="Agreement"/>
        <w:spacing w:line="276" w:lineRule="auto"/>
        <w:jc w:val="both"/>
        <w:rPr>
          <w:b w:val="0"/>
        </w:rPr>
      </w:pPr>
      <w:r>
        <w:rPr>
          <w:b w:val="0"/>
        </w:rPr>
        <w:t>Support neighbour cell measurements in RRC_CONNECTED, at least for intra-frequency.</w:t>
      </w:r>
    </w:p>
    <w:p w14:paraId="4AE8E903" w14:textId="77777777" w:rsidR="00FA5AD7" w:rsidRDefault="00FA5AD7" w:rsidP="00FA5AD7">
      <w:pPr>
        <w:pStyle w:val="Agreement"/>
        <w:numPr>
          <w:ilvl w:val="2"/>
          <w:numId w:val="30"/>
        </w:numPr>
        <w:spacing w:line="276" w:lineRule="auto"/>
        <w:jc w:val="both"/>
        <w:rPr>
          <w:b w:val="0"/>
        </w:rPr>
      </w:pPr>
      <w:r>
        <w:rPr>
          <w:b w:val="0"/>
        </w:rPr>
        <w:t>FFS inter-frequency</w:t>
      </w:r>
    </w:p>
    <w:p w14:paraId="643FE20B" w14:textId="77777777" w:rsidR="00FA5AD7" w:rsidRDefault="00FA5AD7" w:rsidP="00FA5AD7">
      <w:pPr>
        <w:pStyle w:val="Agreement"/>
        <w:numPr>
          <w:ilvl w:val="2"/>
          <w:numId w:val="30"/>
        </w:numPr>
        <w:spacing w:line="276" w:lineRule="auto"/>
        <w:jc w:val="both"/>
        <w:rPr>
          <w:b w:val="0"/>
        </w:rPr>
      </w:pPr>
      <w:r>
        <w:rPr>
          <w:b w:val="0"/>
        </w:rPr>
        <w:t>FFS whether measurements are done on the anchor carrier</w:t>
      </w:r>
    </w:p>
    <w:p w14:paraId="01CFA48E" w14:textId="77777777" w:rsidR="00FA5AD7" w:rsidRDefault="00FA5AD7" w:rsidP="00FA5AD7">
      <w:pPr>
        <w:pStyle w:val="Agreement"/>
        <w:numPr>
          <w:ilvl w:val="2"/>
          <w:numId w:val="30"/>
        </w:numPr>
        <w:spacing w:line="276" w:lineRule="auto"/>
        <w:jc w:val="both"/>
        <w:rPr>
          <w:b w:val="0"/>
        </w:rPr>
      </w:pPr>
      <w:r>
        <w:rPr>
          <w:b w:val="0"/>
        </w:rPr>
        <w:t xml:space="preserve">FFS how neighbour cell measurement is triggered </w:t>
      </w:r>
    </w:p>
    <w:p w14:paraId="15E885EC" w14:textId="77777777" w:rsidR="00FA5AD7" w:rsidRDefault="00FA5AD7" w:rsidP="00FA5AD7">
      <w:pPr>
        <w:pStyle w:val="Agreement"/>
        <w:numPr>
          <w:ilvl w:val="2"/>
          <w:numId w:val="30"/>
        </w:numPr>
        <w:spacing w:line="276" w:lineRule="auto"/>
        <w:jc w:val="both"/>
        <w:rPr>
          <w:b w:val="0"/>
        </w:rPr>
      </w:pPr>
      <w:r>
        <w:rPr>
          <w:b w:val="0"/>
        </w:rPr>
        <w:t xml:space="preserve">FFS how to perform neighbour cell measurements </w:t>
      </w:r>
    </w:p>
    <w:p w14:paraId="14667A44" w14:textId="77777777" w:rsidR="00FA5AD7" w:rsidRDefault="00FA5AD7" w:rsidP="00FA5AD7">
      <w:pPr>
        <w:pStyle w:val="Agreement"/>
        <w:spacing w:line="276" w:lineRule="auto"/>
        <w:jc w:val="both"/>
        <w:rPr>
          <w:b w:val="0"/>
        </w:rPr>
      </w:pPr>
      <w:r>
        <w:rPr>
          <w:b w:val="0"/>
        </w:rPr>
        <w:t>Working assumption: Neighbour cell measurement results are not reported to the network in RRC_CONNECTED.</w:t>
      </w:r>
    </w:p>
    <w:p w14:paraId="3A6D50C7" w14:textId="77777777" w:rsidR="00FA5AD7" w:rsidRDefault="00FA5AD7" w:rsidP="00FA5AD7">
      <w:pPr>
        <w:pStyle w:val="Agreement"/>
        <w:numPr>
          <w:ilvl w:val="2"/>
          <w:numId w:val="31"/>
        </w:numPr>
        <w:spacing w:line="276" w:lineRule="auto"/>
        <w:jc w:val="both"/>
        <w:rPr>
          <w:b w:val="0"/>
        </w:rPr>
      </w:pPr>
      <w:r>
        <w:rPr>
          <w:b w:val="0"/>
        </w:rPr>
        <w:t>FFS whether and when other information can be sent</w:t>
      </w:r>
    </w:p>
    <w:p w14:paraId="0EC0C67A" w14:textId="77777777" w:rsidR="00FA5AD7" w:rsidRDefault="00FA5AD7" w:rsidP="00FA5AD7">
      <w:pPr>
        <w:spacing w:line="276" w:lineRule="auto"/>
        <w:jc w:val="both"/>
        <w:rPr>
          <w:rFonts w:eastAsia="MS Mincho" w:cs="Arial"/>
        </w:rPr>
      </w:pPr>
    </w:p>
    <w:p w14:paraId="148AE42E" w14:textId="77777777" w:rsidR="00FA5AD7" w:rsidRDefault="00FA5AD7" w:rsidP="00FA5AD7">
      <w:pPr>
        <w:spacing w:line="276" w:lineRule="auto"/>
        <w:jc w:val="both"/>
        <w:rPr>
          <w:rFonts w:eastAsia="MS Mincho" w:cs="Arial"/>
          <w:lang w:val="en-US"/>
        </w:rPr>
      </w:pPr>
      <w:r>
        <w:rPr>
          <w:rFonts w:eastAsia="MS Mincho" w:cs="Arial"/>
          <w:highlight w:val="green"/>
          <w:lang w:val="en-US"/>
        </w:rPr>
        <w:t>RAN2#112-e agreements:</w:t>
      </w:r>
    </w:p>
    <w:p w14:paraId="2F60727B" w14:textId="77777777" w:rsidR="00FA5AD7" w:rsidRDefault="00FA5AD7" w:rsidP="00FA5AD7">
      <w:pPr>
        <w:pStyle w:val="Agreement"/>
        <w:spacing w:line="276" w:lineRule="auto"/>
        <w:jc w:val="both"/>
        <w:rPr>
          <w:b w:val="0"/>
        </w:rPr>
      </w:pPr>
      <w:r>
        <w:rPr>
          <w:b w:val="0"/>
        </w:rPr>
        <w:t>Enhancements to the random-access procedure are not considered.</w:t>
      </w:r>
    </w:p>
    <w:p w14:paraId="2214B440" w14:textId="77777777" w:rsidR="00FA5AD7" w:rsidRDefault="00FA5AD7" w:rsidP="00FA5AD7">
      <w:pPr>
        <w:pStyle w:val="Agreement"/>
        <w:spacing w:line="276" w:lineRule="auto"/>
        <w:jc w:val="both"/>
        <w:rPr>
          <w:b w:val="0"/>
        </w:rPr>
      </w:pPr>
      <w:r>
        <w:rPr>
          <w:b w:val="0"/>
        </w:rPr>
        <w:t>The solution includes reduction of the time between declaration of RLF and the start of the random-access procedure (points C and D)</w:t>
      </w:r>
    </w:p>
    <w:p w14:paraId="0F53AD61" w14:textId="2F20F598" w:rsidR="00FA5AD7" w:rsidRDefault="00FA5AD7" w:rsidP="00FA5AD7">
      <w:pPr>
        <w:pStyle w:val="Agreement"/>
        <w:spacing w:line="276" w:lineRule="auto"/>
        <w:jc w:val="both"/>
        <w:rPr>
          <w:b w:val="0"/>
        </w:rPr>
      </w:pPr>
      <w:r>
        <w:rPr>
          <w:b w:val="0"/>
        </w:rPr>
        <w:t xml:space="preserve">FFS whether the solution includes reduction of the time between out-of-sync detection and declaration of RLF (points B and C) </w:t>
      </w:r>
    </w:p>
    <w:p w14:paraId="3B89F9A4" w14:textId="4145EA39" w:rsidR="00664489" w:rsidRDefault="00664489" w:rsidP="00664489">
      <w:pPr>
        <w:rPr>
          <w:rFonts w:eastAsia="MS Mincho"/>
          <w:lang w:val="en-US"/>
        </w:rPr>
      </w:pPr>
      <w:r>
        <w:rPr>
          <w:rFonts w:eastAsia="MS Mincho"/>
          <w:highlight w:val="green"/>
          <w:lang w:val="en-US"/>
        </w:rPr>
        <w:t>RAN2#113-e agreements:</w:t>
      </w:r>
    </w:p>
    <w:p w14:paraId="1E7A8EE1" w14:textId="77777777" w:rsidR="00664489" w:rsidRPr="00664489" w:rsidRDefault="00664489" w:rsidP="00664489">
      <w:pPr>
        <w:rPr>
          <w:lang w:eastAsia="en-GB"/>
        </w:rPr>
      </w:pPr>
    </w:p>
    <w:tbl>
      <w:tblPr>
        <w:tblStyle w:val="TableGrid"/>
        <w:tblW w:w="0" w:type="auto"/>
        <w:tblInd w:w="1622" w:type="dxa"/>
        <w:tblLook w:val="04A0" w:firstRow="1" w:lastRow="0" w:firstColumn="1" w:lastColumn="0" w:noHBand="0" w:noVBand="1"/>
      </w:tblPr>
      <w:tblGrid>
        <w:gridCol w:w="8007"/>
      </w:tblGrid>
      <w:tr w:rsidR="00664489" w14:paraId="31104F52" w14:textId="77777777" w:rsidTr="00664489">
        <w:tc>
          <w:tcPr>
            <w:tcW w:w="10194" w:type="dxa"/>
            <w:tcBorders>
              <w:top w:val="single" w:sz="4" w:space="0" w:color="auto"/>
              <w:left w:val="single" w:sz="4" w:space="0" w:color="auto"/>
              <w:bottom w:val="single" w:sz="4" w:space="0" w:color="auto"/>
              <w:right w:val="single" w:sz="4" w:space="0" w:color="auto"/>
            </w:tcBorders>
          </w:tcPr>
          <w:p w14:paraId="29E51556" w14:textId="77777777" w:rsidR="00664489" w:rsidRDefault="00664489">
            <w:pPr>
              <w:pStyle w:val="EmailDiscussion2"/>
              <w:ind w:left="0" w:firstLine="0"/>
            </w:pPr>
            <w:r>
              <w:t>Agreements:</w:t>
            </w:r>
          </w:p>
          <w:p w14:paraId="54704D26" w14:textId="77777777" w:rsidR="00664489" w:rsidRDefault="00664489">
            <w:pPr>
              <w:pStyle w:val="EmailDiscussion2"/>
              <w:ind w:left="0" w:firstLine="0"/>
            </w:pPr>
          </w:p>
          <w:p w14:paraId="734C7A87" w14:textId="77777777" w:rsidR="00664489" w:rsidRPr="00664489" w:rsidRDefault="00664489" w:rsidP="00664489">
            <w:pPr>
              <w:pStyle w:val="ListParagraph"/>
              <w:numPr>
                <w:ilvl w:val="0"/>
                <w:numId w:val="33"/>
              </w:numPr>
              <w:overflowPunct/>
              <w:autoSpaceDE/>
              <w:autoSpaceDN/>
              <w:adjustRightInd/>
              <w:textAlignment w:val="auto"/>
              <w:rPr>
                <w:rStyle w:val="Hyperlink"/>
                <w:rFonts w:ascii="Arial" w:hAnsi="Arial" w:cs="Arial"/>
                <w:color w:val="auto"/>
                <w:sz w:val="20"/>
              </w:rPr>
            </w:pPr>
            <w:r w:rsidRPr="00664489">
              <w:rPr>
                <w:rStyle w:val="Hyperlink"/>
                <w:rFonts w:ascii="Arial" w:hAnsi="Arial" w:cs="Arial"/>
                <w:color w:val="auto"/>
                <w:sz w:val="20"/>
              </w:rPr>
              <w:t>Neighbour cells measurement (detection and measurements) are performed only on the anchor carrier.</w:t>
            </w:r>
          </w:p>
          <w:p w14:paraId="63CFAC42" w14:textId="62ADEB31" w:rsidR="00664489" w:rsidRDefault="00664489" w:rsidP="00664489">
            <w:pPr>
              <w:pStyle w:val="ListParagraph"/>
              <w:numPr>
                <w:ilvl w:val="0"/>
                <w:numId w:val="33"/>
              </w:numPr>
              <w:overflowPunct/>
              <w:autoSpaceDE/>
              <w:autoSpaceDN/>
              <w:adjustRightInd/>
              <w:textAlignment w:val="auto"/>
            </w:pPr>
            <w:r w:rsidRPr="00664489">
              <w:rPr>
                <w:rStyle w:val="Hyperlink"/>
                <w:rFonts w:ascii="Arial" w:hAnsi="Arial" w:cs="Arial"/>
                <w:color w:val="auto"/>
                <w:sz w:val="20"/>
              </w:rPr>
              <w:lastRenderedPageBreak/>
              <w:t>The solution is optional</w:t>
            </w:r>
          </w:p>
        </w:tc>
      </w:tr>
    </w:tbl>
    <w:p w14:paraId="2BEB84FB" w14:textId="77777777" w:rsidR="00381C29" w:rsidRDefault="00381C29" w:rsidP="00381C29">
      <w:pPr>
        <w:spacing w:after="0"/>
        <w:rPr>
          <w:b/>
          <w:bCs/>
          <w:u w:val="single"/>
          <w:lang w:eastAsia="en-GB"/>
        </w:rPr>
      </w:pPr>
    </w:p>
    <w:p w14:paraId="05594B2F" w14:textId="10B31A8D" w:rsidR="00381C29" w:rsidRPr="00CE0424" w:rsidRDefault="00381C29" w:rsidP="00CE0424">
      <w:pPr>
        <w:pStyle w:val="BodyText"/>
      </w:pPr>
      <w:r>
        <w:t>In this paper</w:t>
      </w:r>
      <w:r w:rsidR="00EA2379">
        <w:t>, based on the LS replied by RAN4,</w:t>
      </w:r>
      <w:r>
        <w:t xml:space="preserve"> we discuss </w:t>
      </w:r>
      <w:r w:rsidR="000E42C5">
        <w:t>on</w:t>
      </w:r>
      <w:r w:rsidR="00EA2379">
        <w:t xml:space="preserve"> RAN 2 related aspects, and </w:t>
      </w:r>
      <w:r w:rsidR="00751A70">
        <w:t>provide</w:t>
      </w:r>
      <w:r w:rsidR="00EA2379">
        <w:t xml:space="preserve"> our proposals</w:t>
      </w:r>
      <w:r w:rsidR="000E42C5">
        <w:t>.</w:t>
      </w:r>
    </w:p>
    <w:p w14:paraId="4DA5EDD1" w14:textId="22A2D97B" w:rsidR="004000E8" w:rsidRDefault="00230D18" w:rsidP="00CE0424">
      <w:pPr>
        <w:pStyle w:val="Heading1"/>
      </w:pPr>
      <w:bookmarkStart w:id="2" w:name="_Ref178064866"/>
      <w:r>
        <w:t>2</w:t>
      </w:r>
      <w:r>
        <w:tab/>
      </w:r>
      <w:r w:rsidR="004000E8" w:rsidRPr="00CE0424">
        <w:t>Discussion</w:t>
      </w:r>
      <w:bookmarkEnd w:id="2"/>
    </w:p>
    <w:p w14:paraId="6FCF8A84" w14:textId="1CA3740B" w:rsidR="00B6240C" w:rsidRPr="00B6240C" w:rsidRDefault="00B6240C" w:rsidP="00B6240C">
      <w:pPr>
        <w:pStyle w:val="Heading2"/>
      </w:pPr>
      <w:r w:rsidRPr="00823A01">
        <w:t>2.1</w:t>
      </w:r>
      <w:r>
        <w:tab/>
      </w:r>
      <w:r w:rsidR="00803DC4">
        <w:rPr>
          <w:rFonts w:eastAsia="Times New Roman"/>
          <w:lang w:val="en-US"/>
        </w:rPr>
        <w:t>General</w:t>
      </w:r>
      <w:r>
        <w:t xml:space="preserve"> </w:t>
      </w:r>
    </w:p>
    <w:p w14:paraId="2C1816A7" w14:textId="77777777" w:rsidR="00803DC4" w:rsidRDefault="00803DC4" w:rsidP="00803DC4">
      <w:pPr>
        <w:rPr>
          <w:lang w:eastAsia="en-US"/>
        </w:rPr>
      </w:pPr>
      <w:r>
        <w:rPr>
          <w:rFonts w:eastAsia="Times New Roman"/>
          <w:lang w:eastAsia="en-US"/>
        </w:rPr>
        <w:object w:dxaOrig="9640" w:dyaOrig="3880" w14:anchorId="363F0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194.1pt" o:ole="">
            <v:imagedata r:id="rId11" o:title=""/>
          </v:shape>
          <o:OLEObject Type="Embed" ProgID="Visio.Drawing.11" ShapeID="_x0000_i1025" DrawAspect="Content" ObjectID="_1682194357" r:id="rId12"/>
        </w:object>
      </w:r>
    </w:p>
    <w:p w14:paraId="3329D5F7" w14:textId="77777777" w:rsidR="00803DC4" w:rsidRDefault="00803DC4" w:rsidP="00803DC4">
      <w:pPr>
        <w:jc w:val="center"/>
      </w:pPr>
      <w:r>
        <w:rPr>
          <w:lang w:eastAsia="en-US"/>
        </w:rPr>
        <w:t>Figure 1: Illustrations of the reference points until RLF is declared</w:t>
      </w:r>
    </w:p>
    <w:p w14:paraId="6D5159F6" w14:textId="77777777" w:rsidR="00803DC4" w:rsidRDefault="00803DC4" w:rsidP="00803DC4">
      <w:pPr>
        <w:jc w:val="both"/>
        <w:rPr>
          <w:rFonts w:ascii="Arial" w:hAnsi="Arial" w:cs="Arial"/>
        </w:rPr>
      </w:pPr>
      <w:r>
        <w:rPr>
          <w:rFonts w:ascii="Arial" w:hAnsi="Arial" w:cs="Arial"/>
        </w:rPr>
        <w:t xml:space="preserve">The WI objective is to </w:t>
      </w:r>
      <w:r>
        <w:rPr>
          <w:rFonts w:ascii="Arial" w:eastAsia="DengXian" w:hAnsi="Arial" w:cs="Arial"/>
          <w:lang w:val="en-US" w:eastAsia="zh-CN"/>
        </w:rPr>
        <w:t xml:space="preserve">specify signaling for neighbor cell measurements and the corresponding measurement triggering </w:t>
      </w:r>
      <w:r w:rsidRPr="00803DC4">
        <w:rPr>
          <w:rFonts w:ascii="Arial" w:eastAsia="DengXian" w:hAnsi="Arial" w:cs="Arial"/>
          <w:lang w:val="en-US" w:eastAsia="zh-CN"/>
        </w:rPr>
        <w:t>before RLF</w:t>
      </w:r>
      <w:r>
        <w:rPr>
          <w:rFonts w:ascii="Arial" w:hAnsi="Arial" w:cs="Arial"/>
        </w:rPr>
        <w:t xml:space="preserve">. Based on the figure above provided in the related email discussion after RAN2#111e; the intention of this Rel-17 objective can be expressed as to reduce the time between reference points C and D through specifying signalling for </w:t>
      </w:r>
      <w:r>
        <w:rPr>
          <w:rFonts w:ascii="Arial" w:eastAsia="DengXian" w:hAnsi="Arial" w:cs="Arial"/>
          <w:lang w:val="en-US" w:eastAsia="zh-CN"/>
        </w:rPr>
        <w:t>neighbor cell measurements and the corresponding measurement triggering</w:t>
      </w:r>
      <w:r>
        <w:rPr>
          <w:rFonts w:ascii="Arial" w:hAnsi="Arial" w:cs="Arial"/>
        </w:rPr>
        <w:t xml:space="preserve"> between reference points A and C, i.e., until RLF is declared.</w:t>
      </w:r>
    </w:p>
    <w:p w14:paraId="64F51379" w14:textId="77777777" w:rsidR="00803DC4" w:rsidRDefault="00803DC4" w:rsidP="00803DC4">
      <w:pPr>
        <w:pStyle w:val="Proposal"/>
        <w:numPr>
          <w:ilvl w:val="0"/>
          <w:numId w:val="38"/>
        </w:numPr>
        <w:tabs>
          <w:tab w:val="clear" w:pos="1304"/>
        </w:tabs>
        <w:ind w:left="1701" w:hanging="1701"/>
        <w:textAlignment w:val="auto"/>
      </w:pPr>
      <w:r>
        <w:rPr>
          <w:lang w:val="en-US"/>
        </w:rPr>
        <w:fldChar w:fldCharType="begin"/>
      </w:r>
      <w:r>
        <w:rPr>
          <w:lang w:val="en-US"/>
        </w:rPr>
        <w:instrText xml:space="preserve"> TOC \n \h \z \t "Proposal" \c </w:instrText>
      </w:r>
      <w:r>
        <w:rPr>
          <w:lang w:val="en-US"/>
        </w:rPr>
        <w:fldChar w:fldCharType="separate"/>
      </w:r>
      <w:hyperlink r:id="rId13" w:anchor="_Toc46845071" w:history="1">
        <w:bookmarkStart w:id="3" w:name="_Toc71581170"/>
        <w:r>
          <w:rPr>
            <w:rStyle w:val="Hyperlink"/>
            <w:noProof/>
          </w:rPr>
          <w:t>Any enhancement in relation to the Rel-17 WI objective to reduce the time taken to RRC reestablishment to another cell only concerns up to reference point C displayed in the diagram included</w:t>
        </w:r>
        <w:r>
          <w:rPr>
            <w:rStyle w:val="Hyperlink"/>
            <w:rFonts w:cs="Arial"/>
          </w:rPr>
          <w:t xml:space="preserve"> in the email discussion after RAN2#111e</w:t>
        </w:r>
        <w:r>
          <w:rPr>
            <w:rStyle w:val="Hyperlink"/>
            <w:noProof/>
          </w:rPr>
          <w:t>.</w:t>
        </w:r>
        <w:bookmarkEnd w:id="3"/>
      </w:hyperlink>
      <w:r>
        <w:rPr>
          <w:lang w:val="en-US"/>
        </w:rPr>
        <w:fldChar w:fldCharType="end"/>
      </w:r>
    </w:p>
    <w:p w14:paraId="72AB41B1" w14:textId="013C0BB3" w:rsidR="00B6240C" w:rsidRPr="00B6240C" w:rsidRDefault="00B6240C" w:rsidP="00B6240C">
      <w:pPr>
        <w:pStyle w:val="Heading2"/>
      </w:pPr>
      <w:r w:rsidRPr="00823A01">
        <w:t>2.</w:t>
      </w:r>
      <w:r w:rsidR="00803DC4">
        <w:t>2</w:t>
      </w:r>
      <w:r>
        <w:tab/>
      </w:r>
      <w:r>
        <w:rPr>
          <w:rFonts w:eastAsia="Times New Roman"/>
          <w:lang w:val="en-US"/>
        </w:rPr>
        <w:t xml:space="preserve">Triggering conditions to start and stop </w:t>
      </w:r>
      <w:r>
        <w:t xml:space="preserve">measurement </w:t>
      </w:r>
    </w:p>
    <w:p w14:paraId="391BAEE7" w14:textId="3E2975B7" w:rsidR="000F6A7E" w:rsidRDefault="000F6A7E" w:rsidP="000F6A7E">
      <w:r>
        <w:t xml:space="preserve">In the LS </w:t>
      </w:r>
      <w:r>
        <w:fldChar w:fldCharType="begin"/>
      </w:r>
      <w:r>
        <w:instrText xml:space="preserve"> REF _Ref69903966 \r \h </w:instrText>
      </w:r>
      <w:r>
        <w:fldChar w:fldCharType="separate"/>
      </w:r>
      <w:r>
        <w:t>[</w:t>
      </w:r>
      <w:r w:rsidR="00B6240C">
        <w:t>2</w:t>
      </w:r>
      <w:r>
        <w:t>]</w:t>
      </w:r>
      <w:r>
        <w:fldChar w:fldCharType="end"/>
      </w:r>
      <w:r>
        <w:t xml:space="preserve">, RAN4 </w:t>
      </w:r>
      <w:r w:rsidR="00705819">
        <w:t>has the following reply</w:t>
      </w:r>
      <w:r>
        <w:t>:</w:t>
      </w:r>
    </w:p>
    <w:tbl>
      <w:tblPr>
        <w:tblW w:w="96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9"/>
      </w:tblGrid>
      <w:tr w:rsidR="000F6A7E" w14:paraId="3803641E" w14:textId="77777777" w:rsidTr="00286855">
        <w:trPr>
          <w:trHeight w:val="1977"/>
        </w:trPr>
        <w:tc>
          <w:tcPr>
            <w:tcW w:w="9669" w:type="dxa"/>
          </w:tcPr>
          <w:p w14:paraId="761197E0" w14:textId="77777777" w:rsidR="000F6A7E" w:rsidRPr="000C03C1" w:rsidRDefault="000F6A7E" w:rsidP="000F6A7E">
            <w:pPr>
              <w:numPr>
                <w:ilvl w:val="0"/>
                <w:numId w:val="34"/>
              </w:numPr>
              <w:overflowPunct/>
              <w:snapToGrid w:val="0"/>
              <w:spacing w:after="120"/>
              <w:ind w:left="602"/>
              <w:jc w:val="both"/>
              <w:textAlignment w:val="auto"/>
              <w:rPr>
                <w:rFonts w:ascii="Arial" w:hAnsi="Arial" w:cs="Arial"/>
                <w:iCs/>
                <w:kern w:val="2"/>
                <w:lang w:val="en-US"/>
              </w:rPr>
            </w:pPr>
            <w:r w:rsidRPr="000C03C1">
              <w:rPr>
                <w:rFonts w:ascii="Arial" w:hAnsi="Arial" w:cs="Arial"/>
                <w:iCs/>
                <w:kern w:val="2"/>
                <w:lang w:val="en-US"/>
              </w:rPr>
              <w:t>From RAN4 point of view:</w:t>
            </w:r>
          </w:p>
          <w:p w14:paraId="1BFC62EA" w14:textId="77777777" w:rsidR="000F6A7E" w:rsidRPr="000C03C1" w:rsidRDefault="000F6A7E" w:rsidP="000F6A7E">
            <w:pPr>
              <w:numPr>
                <w:ilvl w:val="1"/>
                <w:numId w:val="34"/>
              </w:numPr>
              <w:overflowPunct/>
              <w:snapToGrid w:val="0"/>
              <w:spacing w:after="120"/>
              <w:ind w:left="1322"/>
              <w:jc w:val="both"/>
              <w:textAlignment w:val="auto"/>
              <w:rPr>
                <w:rFonts w:ascii="Arial" w:hAnsi="Arial" w:cs="Arial"/>
                <w:iCs/>
                <w:kern w:val="2"/>
                <w:lang w:val="en-US"/>
              </w:rPr>
            </w:pPr>
            <w:r w:rsidRPr="000C03C1">
              <w:rPr>
                <w:rFonts w:ascii="Arial" w:hAnsi="Arial" w:cs="Arial"/>
                <w:iCs/>
                <w:kern w:val="2"/>
                <w:lang w:val="en-US"/>
              </w:rPr>
              <w:t xml:space="preserve">UE starts performing the </w:t>
            </w:r>
            <w:proofErr w:type="spellStart"/>
            <w:r w:rsidRPr="000C03C1">
              <w:rPr>
                <w:rFonts w:ascii="Arial" w:hAnsi="Arial" w:cs="Arial"/>
                <w:iCs/>
                <w:kern w:val="2"/>
                <w:lang w:val="en-US"/>
              </w:rPr>
              <w:t>neighbour</w:t>
            </w:r>
            <w:proofErr w:type="spellEnd"/>
            <w:r w:rsidRPr="000C03C1">
              <w:rPr>
                <w:rFonts w:ascii="Arial" w:hAnsi="Arial" w:cs="Arial"/>
                <w:iCs/>
                <w:kern w:val="2"/>
                <w:lang w:val="en-US"/>
              </w:rPr>
              <w:t xml:space="preserve"> cell measurements when the serving cell quality deteriorates </w:t>
            </w:r>
          </w:p>
          <w:p w14:paraId="3C6B6C45" w14:textId="77777777" w:rsidR="000F6A7E" w:rsidRPr="000C03C1" w:rsidRDefault="000F6A7E" w:rsidP="000F6A7E">
            <w:pPr>
              <w:numPr>
                <w:ilvl w:val="1"/>
                <w:numId w:val="34"/>
              </w:numPr>
              <w:overflowPunct/>
              <w:snapToGrid w:val="0"/>
              <w:spacing w:after="120"/>
              <w:ind w:left="1322"/>
              <w:jc w:val="both"/>
              <w:textAlignment w:val="auto"/>
              <w:rPr>
                <w:rFonts w:ascii="Arial" w:hAnsi="Arial" w:cs="Arial"/>
                <w:iCs/>
                <w:kern w:val="2"/>
                <w:lang w:val="en-US"/>
              </w:rPr>
            </w:pPr>
            <w:r w:rsidRPr="000C03C1">
              <w:rPr>
                <w:rFonts w:ascii="Arial" w:hAnsi="Arial" w:cs="Arial"/>
                <w:iCs/>
                <w:kern w:val="2"/>
                <w:lang w:val="en-US"/>
              </w:rPr>
              <w:t xml:space="preserve">There should be mechanism to stop the </w:t>
            </w:r>
            <w:proofErr w:type="spellStart"/>
            <w:r w:rsidRPr="000C03C1">
              <w:rPr>
                <w:rFonts w:ascii="Arial" w:hAnsi="Arial" w:cs="Arial"/>
                <w:iCs/>
                <w:kern w:val="2"/>
                <w:lang w:val="en-US"/>
              </w:rPr>
              <w:t>neighbour</w:t>
            </w:r>
            <w:proofErr w:type="spellEnd"/>
            <w:r w:rsidRPr="000C03C1">
              <w:rPr>
                <w:rFonts w:ascii="Arial" w:hAnsi="Arial" w:cs="Arial"/>
                <w:iCs/>
                <w:kern w:val="2"/>
                <w:lang w:val="en-US"/>
              </w:rPr>
              <w:t xml:space="preserve"> cell measurement.</w:t>
            </w:r>
          </w:p>
          <w:p w14:paraId="002574ED" w14:textId="77777777" w:rsidR="000F6A7E" w:rsidRPr="009A66F9" w:rsidRDefault="000F6A7E" w:rsidP="000F6A7E">
            <w:pPr>
              <w:numPr>
                <w:ilvl w:val="1"/>
                <w:numId w:val="34"/>
              </w:numPr>
              <w:overflowPunct/>
              <w:snapToGrid w:val="0"/>
              <w:spacing w:after="120"/>
              <w:ind w:left="1322"/>
              <w:jc w:val="both"/>
              <w:textAlignment w:val="auto"/>
              <w:rPr>
                <w:rFonts w:ascii="Arial" w:hAnsi="Arial" w:cs="Arial"/>
                <w:iCs/>
                <w:kern w:val="2"/>
                <w:lang w:val="en-US"/>
              </w:rPr>
            </w:pPr>
            <w:r w:rsidRPr="000C03C1">
              <w:rPr>
                <w:rFonts w:ascii="Arial" w:hAnsi="Arial" w:cs="Arial"/>
                <w:iCs/>
                <w:kern w:val="2"/>
                <w:lang w:val="en-US"/>
              </w:rPr>
              <w:t>It is up to RAN2 to decide the triggering condition for starting and stopping the neighbor cell measurements</w:t>
            </w:r>
          </w:p>
        </w:tc>
      </w:tr>
    </w:tbl>
    <w:p w14:paraId="0745CDD7" w14:textId="77777777" w:rsidR="00795160" w:rsidRDefault="00795160" w:rsidP="00FB2ED5">
      <w:pPr>
        <w:rPr>
          <w:lang w:eastAsia="en-US"/>
        </w:rPr>
      </w:pPr>
    </w:p>
    <w:p w14:paraId="71DA6E77" w14:textId="4D39F3B2" w:rsidR="00B361BB" w:rsidRDefault="00BB005F" w:rsidP="00FB2ED5">
      <w:r>
        <w:rPr>
          <w:lang w:eastAsia="en-US"/>
        </w:rPr>
        <w:t>To make best us</w:t>
      </w:r>
      <w:r w:rsidR="00795160">
        <w:rPr>
          <w:lang w:eastAsia="en-US"/>
        </w:rPr>
        <w:t>age</w:t>
      </w:r>
      <w:r>
        <w:rPr>
          <w:lang w:eastAsia="en-US"/>
        </w:rPr>
        <w:t xml:space="preserve"> of UE’s power consumption during RRC_CONNECT mode</w:t>
      </w:r>
      <w:r w:rsidR="00795160">
        <w:rPr>
          <w:lang w:eastAsia="en-US"/>
        </w:rPr>
        <w:t xml:space="preserve">, triggering </w:t>
      </w:r>
      <w:r>
        <w:rPr>
          <w:rFonts w:eastAsia="Times New Roman"/>
          <w:lang w:val="en-US"/>
        </w:rPr>
        <w:t xml:space="preserve">conditions to start and stop </w:t>
      </w:r>
      <w:r>
        <w:t>measurement should be defined.</w:t>
      </w:r>
      <w:r w:rsidR="00795160">
        <w:t xml:space="preserve"> When the starting conditions are fulfilled, UE shall perform the measurement; on the other hand, when the stopping conditions are met, UE is not required to perform the measurement for power saving. When </w:t>
      </w:r>
      <w:r w:rsidR="0003669C">
        <w:t xml:space="preserve">the </w:t>
      </w:r>
      <w:r w:rsidR="00795160">
        <w:t xml:space="preserve">UE </w:t>
      </w:r>
      <w:r w:rsidR="00751A70">
        <w:t xml:space="preserve">will </w:t>
      </w:r>
      <w:r w:rsidR="00795160">
        <w:t>stop measurement is left up to UE implementation</w:t>
      </w:r>
      <w:r w:rsidR="00751A70">
        <w:t>, just not before the stopping conditions are fu</w:t>
      </w:r>
      <w:r w:rsidR="0003669C">
        <w:t>l</w:t>
      </w:r>
      <w:r w:rsidR="00751A70">
        <w:t>filled</w:t>
      </w:r>
      <w:r w:rsidR="00795160">
        <w:t xml:space="preserve">.  </w:t>
      </w:r>
    </w:p>
    <w:p w14:paraId="0FC1F4FA" w14:textId="78FEF81E" w:rsidR="00D70521" w:rsidRDefault="00D70521" w:rsidP="00FB2ED5">
      <w:pPr>
        <w:pStyle w:val="Proposal"/>
      </w:pPr>
      <w:bookmarkStart w:id="4" w:name="_Toc71581171"/>
      <w:r>
        <w:rPr>
          <w:lang w:val="en-US"/>
        </w:rPr>
        <w:lastRenderedPageBreak/>
        <w:t>NW should configure triggering conditions to start and stop UE measurement during RRC_CONNECTED mode.</w:t>
      </w:r>
      <w:bookmarkEnd w:id="4"/>
    </w:p>
    <w:p w14:paraId="611BB042" w14:textId="3BDD64E0" w:rsidR="00DD2DE6" w:rsidRDefault="007A5F65" w:rsidP="00FB2ED5">
      <w:pPr>
        <w:rPr>
          <w:lang w:eastAsia="en-US"/>
        </w:rPr>
      </w:pPr>
      <w:r>
        <w:rPr>
          <w:lang w:eastAsia="en-US"/>
        </w:rPr>
        <w:t xml:space="preserve">Regarding the starting conditions, it is proposed to jointly consider multiple conditions, including serving cell channel quality and consecutive “out-of-sync” indications. For serving </w:t>
      </w:r>
      <w:r w:rsidR="00DD2DE6">
        <w:rPr>
          <w:lang w:eastAsia="en-US"/>
        </w:rPr>
        <w:t xml:space="preserve">cell quality </w:t>
      </w:r>
      <w:r w:rsidR="00AF0816">
        <w:rPr>
          <w:lang w:eastAsia="en-US"/>
        </w:rPr>
        <w:t xml:space="preserve">on its own </w:t>
      </w:r>
      <w:r w:rsidR="007F1AE3">
        <w:rPr>
          <w:lang w:eastAsia="en-US"/>
        </w:rPr>
        <w:t>may not</w:t>
      </w:r>
      <w:r w:rsidR="00DD2DE6">
        <w:rPr>
          <w:lang w:eastAsia="en-US"/>
        </w:rPr>
        <w:t xml:space="preserve"> </w:t>
      </w:r>
      <w:r w:rsidR="007F1AE3">
        <w:rPr>
          <w:lang w:eastAsia="en-US"/>
        </w:rPr>
        <w:t xml:space="preserve">be </w:t>
      </w:r>
      <w:r w:rsidR="0084782E">
        <w:rPr>
          <w:lang w:eastAsia="en-US"/>
        </w:rPr>
        <w:t>enough as an</w:t>
      </w:r>
      <w:r w:rsidR="00DD2DE6">
        <w:rPr>
          <w:lang w:eastAsia="en-US"/>
        </w:rPr>
        <w:t xml:space="preserve"> indication of triggering RLF, thus it is suggested to also consider the consecutive “out-of-sync” indications:</w:t>
      </w:r>
    </w:p>
    <w:p w14:paraId="7E45B3F5" w14:textId="69D33554" w:rsidR="00DD2DE6" w:rsidRDefault="00AF0816" w:rsidP="00DD2DE6">
      <w:pPr>
        <w:pStyle w:val="ListParagraph"/>
        <w:numPr>
          <w:ilvl w:val="0"/>
          <w:numId w:val="37"/>
        </w:numPr>
        <w:rPr>
          <w:rFonts w:ascii="Times New Roman" w:eastAsia="SimSun" w:hAnsi="Times New Roman"/>
          <w:sz w:val="20"/>
          <w:szCs w:val="20"/>
          <w:lang w:val="en-GB"/>
        </w:rPr>
      </w:pPr>
      <w:r>
        <w:rPr>
          <w:rFonts w:ascii="Times New Roman" w:eastAsia="SimSun" w:hAnsi="Times New Roman"/>
          <w:sz w:val="20"/>
          <w:szCs w:val="20"/>
          <w:lang w:val="en-GB"/>
        </w:rPr>
        <w:t xml:space="preserve">For example. one possibility is to consider when the </w:t>
      </w:r>
      <w:r w:rsidR="00DD2DE6" w:rsidRPr="00DD2DE6">
        <w:rPr>
          <w:rFonts w:ascii="Times New Roman" w:eastAsia="SimSun" w:hAnsi="Times New Roman"/>
          <w:sz w:val="20"/>
          <w:szCs w:val="20"/>
          <w:lang w:val="en-GB"/>
        </w:rPr>
        <w:t xml:space="preserve">Serving cell quality (e.g. NRSRP) is below </w:t>
      </w:r>
      <w:r w:rsidR="00E70729">
        <w:rPr>
          <w:rFonts w:ascii="Times New Roman" w:eastAsia="SimSun" w:hAnsi="Times New Roman"/>
          <w:sz w:val="20"/>
          <w:szCs w:val="20"/>
          <w:lang w:val="en-GB"/>
        </w:rPr>
        <w:t xml:space="preserve">a </w:t>
      </w:r>
      <w:r w:rsidR="00DD2DE6" w:rsidRPr="00DD2DE6">
        <w:rPr>
          <w:rFonts w:ascii="Times New Roman" w:eastAsia="SimSun" w:hAnsi="Times New Roman"/>
          <w:sz w:val="20"/>
          <w:szCs w:val="20"/>
          <w:lang w:val="en-GB"/>
        </w:rPr>
        <w:t xml:space="preserve">threshold and the serving cell quality has decreased more than a threshold over a given period, </w:t>
      </w:r>
      <w:r w:rsidR="00983BB8">
        <w:rPr>
          <w:rFonts w:ascii="Times New Roman" w:eastAsia="SimSun" w:hAnsi="Times New Roman"/>
          <w:sz w:val="20"/>
          <w:szCs w:val="20"/>
          <w:lang w:val="en-GB"/>
        </w:rPr>
        <w:t>A</w:t>
      </w:r>
      <w:r w:rsidR="00615DDB">
        <w:rPr>
          <w:rFonts w:ascii="Times New Roman" w:eastAsia="SimSun" w:hAnsi="Times New Roman"/>
          <w:sz w:val="20"/>
          <w:szCs w:val="20"/>
          <w:lang w:val="en-GB"/>
        </w:rPr>
        <w:t>ND</w:t>
      </w:r>
      <w:r w:rsidR="00983BB8">
        <w:rPr>
          <w:rFonts w:ascii="Times New Roman" w:eastAsia="SimSun" w:hAnsi="Times New Roman"/>
          <w:sz w:val="20"/>
          <w:szCs w:val="20"/>
          <w:lang w:val="en-GB"/>
        </w:rPr>
        <w:t>/</w:t>
      </w:r>
      <w:r w:rsidR="00DD2DE6" w:rsidRPr="00DD2DE6">
        <w:rPr>
          <w:rFonts w:ascii="Times New Roman" w:eastAsia="SimSun" w:hAnsi="Times New Roman"/>
          <w:sz w:val="20"/>
          <w:szCs w:val="20"/>
          <w:lang w:val="en-GB"/>
        </w:rPr>
        <w:t>O</w:t>
      </w:r>
      <w:r w:rsidR="00DD2DE6">
        <w:rPr>
          <w:rFonts w:ascii="Times New Roman" w:eastAsia="SimSun" w:hAnsi="Times New Roman"/>
          <w:sz w:val="20"/>
          <w:szCs w:val="20"/>
          <w:lang w:val="en-GB"/>
        </w:rPr>
        <w:t>R</w:t>
      </w:r>
    </w:p>
    <w:p w14:paraId="569198E5" w14:textId="54C67C50" w:rsidR="00795160" w:rsidRDefault="00EC5234" w:rsidP="00DD2DE6">
      <w:pPr>
        <w:pStyle w:val="ListParagraph"/>
        <w:numPr>
          <w:ilvl w:val="0"/>
          <w:numId w:val="37"/>
        </w:numPr>
        <w:rPr>
          <w:rFonts w:ascii="Times New Roman" w:eastAsia="SimSun" w:hAnsi="Times New Roman"/>
          <w:sz w:val="20"/>
          <w:szCs w:val="20"/>
          <w:lang w:val="en-GB"/>
        </w:rPr>
      </w:pPr>
      <w:r>
        <w:rPr>
          <w:rFonts w:ascii="Times New Roman" w:eastAsia="SimSun" w:hAnsi="Times New Roman"/>
          <w:sz w:val="20"/>
          <w:szCs w:val="20"/>
          <w:lang w:val="en-GB"/>
        </w:rPr>
        <w:t>When an</w:t>
      </w:r>
      <w:r w:rsidR="00330E46">
        <w:rPr>
          <w:rFonts w:ascii="Times New Roman" w:eastAsia="SimSun" w:hAnsi="Times New Roman"/>
          <w:sz w:val="20"/>
          <w:szCs w:val="20"/>
          <w:lang w:val="en-GB"/>
        </w:rPr>
        <w:t xml:space="preserve"> </w:t>
      </w:r>
      <w:r w:rsidR="00DD2DE6" w:rsidRPr="00DD2DE6">
        <w:rPr>
          <w:rFonts w:ascii="Times New Roman" w:eastAsia="SimSun" w:hAnsi="Times New Roman"/>
          <w:sz w:val="20"/>
          <w:szCs w:val="20"/>
          <w:lang w:val="en-GB"/>
        </w:rPr>
        <w:t xml:space="preserve">N number of </w:t>
      </w:r>
      <w:r w:rsidR="00DD2DE6">
        <w:rPr>
          <w:rFonts w:ascii="Times New Roman" w:eastAsia="SimSun" w:hAnsi="Times New Roman"/>
          <w:sz w:val="20"/>
          <w:szCs w:val="20"/>
          <w:lang w:val="en-GB"/>
        </w:rPr>
        <w:t>“</w:t>
      </w:r>
      <w:r w:rsidR="00DD2DE6" w:rsidRPr="00DD2DE6">
        <w:rPr>
          <w:rFonts w:ascii="Times New Roman" w:eastAsia="SimSun" w:hAnsi="Times New Roman"/>
          <w:sz w:val="20"/>
          <w:szCs w:val="20"/>
          <w:lang w:val="en-GB"/>
        </w:rPr>
        <w:t>out</w:t>
      </w:r>
      <w:r w:rsidR="00DD2DE6">
        <w:rPr>
          <w:rFonts w:ascii="Times New Roman" w:eastAsia="SimSun" w:hAnsi="Times New Roman"/>
          <w:sz w:val="20"/>
          <w:szCs w:val="20"/>
          <w:lang w:val="en-GB"/>
        </w:rPr>
        <w:t>-</w:t>
      </w:r>
      <w:r w:rsidR="00DD2DE6" w:rsidRPr="00DD2DE6">
        <w:rPr>
          <w:rFonts w:ascii="Times New Roman" w:eastAsia="SimSun" w:hAnsi="Times New Roman"/>
          <w:sz w:val="20"/>
          <w:szCs w:val="20"/>
          <w:lang w:val="en-GB"/>
        </w:rPr>
        <w:t>of</w:t>
      </w:r>
      <w:r w:rsidR="00DD2DE6">
        <w:rPr>
          <w:rFonts w:ascii="Times New Roman" w:eastAsia="SimSun" w:hAnsi="Times New Roman"/>
          <w:sz w:val="20"/>
          <w:szCs w:val="20"/>
          <w:lang w:val="en-GB"/>
        </w:rPr>
        <w:t>-</w:t>
      </w:r>
      <w:r w:rsidR="00DD2DE6" w:rsidRPr="00DD2DE6">
        <w:rPr>
          <w:rFonts w:ascii="Times New Roman" w:eastAsia="SimSun" w:hAnsi="Times New Roman"/>
          <w:sz w:val="20"/>
          <w:szCs w:val="20"/>
          <w:lang w:val="en-GB"/>
        </w:rPr>
        <w:t>sync</w:t>
      </w:r>
      <w:r w:rsidR="00DD2DE6">
        <w:rPr>
          <w:rFonts w:ascii="Times New Roman" w:eastAsia="SimSun" w:hAnsi="Times New Roman"/>
          <w:sz w:val="20"/>
          <w:szCs w:val="20"/>
          <w:lang w:val="en-GB"/>
        </w:rPr>
        <w:t>”</w:t>
      </w:r>
      <w:r w:rsidR="00DD2DE6" w:rsidRPr="00DD2DE6">
        <w:rPr>
          <w:rFonts w:ascii="Times New Roman" w:eastAsia="SimSun" w:hAnsi="Times New Roman"/>
          <w:sz w:val="20"/>
          <w:szCs w:val="20"/>
          <w:lang w:val="en-GB"/>
        </w:rPr>
        <w:t xml:space="preserve"> </w:t>
      </w:r>
      <w:r w:rsidR="00D70521">
        <w:rPr>
          <w:rFonts w:ascii="Times New Roman" w:eastAsia="SimSun" w:hAnsi="Times New Roman"/>
          <w:sz w:val="20"/>
          <w:szCs w:val="20"/>
          <w:lang w:val="en-GB"/>
        </w:rPr>
        <w:t>indications are</w:t>
      </w:r>
      <w:r w:rsidR="00DD2DE6" w:rsidRPr="00DD2DE6">
        <w:rPr>
          <w:rFonts w:ascii="Times New Roman" w:eastAsia="SimSun" w:hAnsi="Times New Roman"/>
          <w:sz w:val="20"/>
          <w:szCs w:val="20"/>
          <w:lang w:val="en-GB"/>
        </w:rPr>
        <w:t xml:space="preserve"> detected, where N is less than or equal to N310. </w:t>
      </w:r>
    </w:p>
    <w:p w14:paraId="266E0A1E" w14:textId="77777777" w:rsidR="00AF0816" w:rsidRPr="00DD2DE6" w:rsidRDefault="00AF0816" w:rsidP="00AF0816">
      <w:pPr>
        <w:pStyle w:val="ListParagraph"/>
        <w:rPr>
          <w:rFonts w:ascii="Times New Roman" w:eastAsia="SimSun" w:hAnsi="Times New Roman"/>
          <w:sz w:val="20"/>
          <w:szCs w:val="20"/>
          <w:lang w:val="en-GB"/>
        </w:rPr>
      </w:pPr>
    </w:p>
    <w:p w14:paraId="05DE422C" w14:textId="3FAA93EB" w:rsidR="00D70521" w:rsidRDefault="00D70521" w:rsidP="00FB2ED5">
      <w:pPr>
        <w:rPr>
          <w:lang w:eastAsia="en-US"/>
        </w:rPr>
      </w:pPr>
      <w:r>
        <w:rPr>
          <w:lang w:eastAsia="en-US"/>
        </w:rPr>
        <w:t>The parameters including thresholds, N, need to be configured. Some predefined values or legacy parameters can be used as default value if they are not explicitly signalled by NW.</w:t>
      </w:r>
    </w:p>
    <w:p w14:paraId="0DF9839A" w14:textId="2FB7238A" w:rsidR="006F72C2" w:rsidRDefault="00E70729" w:rsidP="00FB2ED5">
      <w:pPr>
        <w:rPr>
          <w:lang w:eastAsia="en-US"/>
        </w:rPr>
      </w:pPr>
      <w:r>
        <w:rPr>
          <w:lang w:eastAsia="en-US"/>
        </w:rPr>
        <w:t xml:space="preserve">Regarding the stopping conditions, </w:t>
      </w:r>
      <w:r w:rsidR="00751A70">
        <w:rPr>
          <w:lang w:eastAsia="en-US"/>
        </w:rPr>
        <w:t>it is suggested to jointly consider following conditions</w:t>
      </w:r>
      <w:r>
        <w:rPr>
          <w:lang w:eastAsia="en-US"/>
        </w:rPr>
        <w:t>:</w:t>
      </w:r>
    </w:p>
    <w:p w14:paraId="383EA722" w14:textId="693C4970" w:rsidR="00E70729" w:rsidRDefault="00EC5234" w:rsidP="00E70729">
      <w:pPr>
        <w:pStyle w:val="ListParagraph"/>
        <w:numPr>
          <w:ilvl w:val="0"/>
          <w:numId w:val="37"/>
        </w:numPr>
        <w:rPr>
          <w:rFonts w:ascii="Times New Roman" w:eastAsia="SimSun" w:hAnsi="Times New Roman"/>
          <w:sz w:val="20"/>
          <w:szCs w:val="20"/>
          <w:lang w:val="en-GB"/>
        </w:rPr>
      </w:pPr>
      <w:r>
        <w:rPr>
          <w:rFonts w:ascii="Times New Roman" w:eastAsia="SimSun" w:hAnsi="Times New Roman"/>
          <w:sz w:val="20"/>
          <w:szCs w:val="20"/>
          <w:lang w:val="en-GB"/>
        </w:rPr>
        <w:t xml:space="preserve">For example. one possibility is to consider when the </w:t>
      </w:r>
      <w:r w:rsidR="00E70729" w:rsidRPr="00DD2DE6">
        <w:rPr>
          <w:rFonts w:ascii="Times New Roman" w:eastAsia="SimSun" w:hAnsi="Times New Roman"/>
          <w:sz w:val="20"/>
          <w:szCs w:val="20"/>
          <w:lang w:val="en-GB"/>
        </w:rPr>
        <w:t xml:space="preserve">Serving cell quality (e.g. NRSRP) is </w:t>
      </w:r>
      <w:r w:rsidR="00E70729">
        <w:rPr>
          <w:rFonts w:ascii="Times New Roman" w:eastAsia="SimSun" w:hAnsi="Times New Roman"/>
          <w:sz w:val="20"/>
          <w:szCs w:val="20"/>
          <w:lang w:val="en-GB"/>
        </w:rPr>
        <w:t>above a</w:t>
      </w:r>
      <w:r w:rsidR="00E70729" w:rsidRPr="00DD2DE6">
        <w:rPr>
          <w:rFonts w:ascii="Times New Roman" w:eastAsia="SimSun" w:hAnsi="Times New Roman"/>
          <w:sz w:val="20"/>
          <w:szCs w:val="20"/>
          <w:lang w:val="en-GB"/>
        </w:rPr>
        <w:t xml:space="preserve"> threshold and the serving cell quality has decreased </w:t>
      </w:r>
      <w:r w:rsidR="00E70729">
        <w:rPr>
          <w:rFonts w:ascii="Times New Roman" w:eastAsia="SimSun" w:hAnsi="Times New Roman"/>
          <w:sz w:val="20"/>
          <w:szCs w:val="20"/>
          <w:lang w:val="en-GB"/>
        </w:rPr>
        <w:t>less</w:t>
      </w:r>
      <w:r w:rsidR="00E70729" w:rsidRPr="00DD2DE6">
        <w:rPr>
          <w:rFonts w:ascii="Times New Roman" w:eastAsia="SimSun" w:hAnsi="Times New Roman"/>
          <w:sz w:val="20"/>
          <w:szCs w:val="20"/>
          <w:lang w:val="en-GB"/>
        </w:rPr>
        <w:t xml:space="preserve"> than a threshold over a given period,</w:t>
      </w:r>
      <w:r w:rsidR="00615DDB">
        <w:rPr>
          <w:rFonts w:ascii="Times New Roman" w:eastAsia="SimSun" w:hAnsi="Times New Roman"/>
          <w:sz w:val="20"/>
          <w:szCs w:val="20"/>
          <w:lang w:val="en-GB"/>
        </w:rPr>
        <w:t xml:space="preserve"> AND/</w:t>
      </w:r>
      <w:r w:rsidR="00E70729" w:rsidRPr="00DD2DE6">
        <w:rPr>
          <w:rFonts w:ascii="Times New Roman" w:eastAsia="SimSun" w:hAnsi="Times New Roman"/>
          <w:sz w:val="20"/>
          <w:szCs w:val="20"/>
          <w:lang w:val="en-GB"/>
        </w:rPr>
        <w:t>O</w:t>
      </w:r>
      <w:r w:rsidR="00E70729">
        <w:rPr>
          <w:rFonts w:ascii="Times New Roman" w:eastAsia="SimSun" w:hAnsi="Times New Roman"/>
          <w:sz w:val="20"/>
          <w:szCs w:val="20"/>
          <w:lang w:val="en-GB"/>
        </w:rPr>
        <w:t>R</w:t>
      </w:r>
    </w:p>
    <w:p w14:paraId="569E8A02" w14:textId="420BEC89" w:rsidR="00E70729" w:rsidRDefault="00EC5234" w:rsidP="00E70729">
      <w:pPr>
        <w:pStyle w:val="ListParagraph"/>
        <w:numPr>
          <w:ilvl w:val="0"/>
          <w:numId w:val="37"/>
        </w:numPr>
        <w:rPr>
          <w:rFonts w:ascii="Times New Roman" w:eastAsia="SimSun" w:hAnsi="Times New Roman"/>
          <w:sz w:val="20"/>
          <w:szCs w:val="20"/>
          <w:lang w:val="en-GB"/>
        </w:rPr>
      </w:pPr>
      <w:r>
        <w:rPr>
          <w:rFonts w:ascii="Times New Roman" w:eastAsia="SimSun" w:hAnsi="Times New Roman"/>
          <w:sz w:val="20"/>
          <w:szCs w:val="20"/>
          <w:lang w:val="en-GB"/>
        </w:rPr>
        <w:t xml:space="preserve">When an </w:t>
      </w:r>
      <w:r w:rsidR="00E70729">
        <w:rPr>
          <w:rFonts w:ascii="Times New Roman" w:eastAsia="SimSun" w:hAnsi="Times New Roman"/>
          <w:sz w:val="20"/>
          <w:szCs w:val="20"/>
          <w:lang w:val="en-GB"/>
        </w:rPr>
        <w:t>M</w:t>
      </w:r>
      <w:r w:rsidR="00E70729" w:rsidRPr="00DD2DE6">
        <w:rPr>
          <w:rFonts w:ascii="Times New Roman" w:eastAsia="SimSun" w:hAnsi="Times New Roman"/>
          <w:sz w:val="20"/>
          <w:szCs w:val="20"/>
          <w:lang w:val="en-GB"/>
        </w:rPr>
        <w:t xml:space="preserve"> number of consecutive </w:t>
      </w:r>
      <w:r w:rsidR="00E70729">
        <w:rPr>
          <w:rFonts w:ascii="Times New Roman" w:eastAsia="SimSun" w:hAnsi="Times New Roman"/>
          <w:sz w:val="20"/>
          <w:szCs w:val="20"/>
          <w:lang w:val="en-GB"/>
        </w:rPr>
        <w:t>“in-</w:t>
      </w:r>
      <w:r w:rsidR="00E70729" w:rsidRPr="00DD2DE6">
        <w:rPr>
          <w:rFonts w:ascii="Times New Roman" w:eastAsia="SimSun" w:hAnsi="Times New Roman"/>
          <w:sz w:val="20"/>
          <w:szCs w:val="20"/>
          <w:lang w:val="en-GB"/>
        </w:rPr>
        <w:t>sync</w:t>
      </w:r>
      <w:r w:rsidR="00E70729">
        <w:rPr>
          <w:rFonts w:ascii="Times New Roman" w:eastAsia="SimSun" w:hAnsi="Times New Roman"/>
          <w:sz w:val="20"/>
          <w:szCs w:val="20"/>
          <w:lang w:val="en-GB"/>
        </w:rPr>
        <w:t>”</w:t>
      </w:r>
      <w:r w:rsidR="00E70729" w:rsidRPr="00DD2DE6">
        <w:rPr>
          <w:rFonts w:ascii="Times New Roman" w:eastAsia="SimSun" w:hAnsi="Times New Roman"/>
          <w:sz w:val="20"/>
          <w:szCs w:val="20"/>
          <w:lang w:val="en-GB"/>
        </w:rPr>
        <w:t xml:space="preserve"> </w:t>
      </w:r>
      <w:r w:rsidR="00E70729">
        <w:rPr>
          <w:rFonts w:ascii="Times New Roman" w:eastAsia="SimSun" w:hAnsi="Times New Roman"/>
          <w:sz w:val="20"/>
          <w:szCs w:val="20"/>
          <w:lang w:val="en-GB"/>
        </w:rPr>
        <w:t>indications are</w:t>
      </w:r>
      <w:r w:rsidR="00E70729" w:rsidRPr="00DD2DE6">
        <w:rPr>
          <w:rFonts w:ascii="Times New Roman" w:eastAsia="SimSun" w:hAnsi="Times New Roman"/>
          <w:sz w:val="20"/>
          <w:szCs w:val="20"/>
          <w:lang w:val="en-GB"/>
        </w:rPr>
        <w:t xml:space="preserve"> detected</w:t>
      </w:r>
      <w:r>
        <w:rPr>
          <w:rFonts w:ascii="Times New Roman" w:eastAsia="SimSun" w:hAnsi="Times New Roman"/>
          <w:sz w:val="20"/>
          <w:szCs w:val="20"/>
          <w:lang w:val="en-GB"/>
        </w:rPr>
        <w:t>.</w:t>
      </w:r>
    </w:p>
    <w:p w14:paraId="21455346" w14:textId="77777777" w:rsidR="0087151E" w:rsidRDefault="0087151E" w:rsidP="0087151E">
      <w:pPr>
        <w:pStyle w:val="ListParagraph"/>
        <w:rPr>
          <w:rFonts w:ascii="Times New Roman" w:eastAsia="SimSun" w:hAnsi="Times New Roman"/>
          <w:sz w:val="20"/>
          <w:szCs w:val="20"/>
          <w:lang w:val="en-GB"/>
        </w:rPr>
      </w:pPr>
    </w:p>
    <w:p w14:paraId="7AA1E32A" w14:textId="40A7463A" w:rsidR="00E70729" w:rsidRDefault="00E70729" w:rsidP="00FB2ED5">
      <w:pPr>
        <w:rPr>
          <w:lang w:eastAsia="en-US"/>
        </w:rPr>
      </w:pPr>
      <w:r>
        <w:t xml:space="preserve">For the serving cell quality condition, some hysteresis can be used. Similarly, </w:t>
      </w:r>
      <w:r>
        <w:rPr>
          <w:lang w:eastAsia="en-US"/>
        </w:rPr>
        <w:t>the parameters need to be configured. Some predefined values or legacy parameters can be used as default value if they are not explicitly signalled by NW.</w:t>
      </w:r>
      <w:r w:rsidR="00EF09F7">
        <w:rPr>
          <w:lang w:eastAsia="en-US"/>
        </w:rPr>
        <w:t xml:space="preserve"> Note that </w:t>
      </w:r>
      <w:r w:rsidR="00574098">
        <w:rPr>
          <w:lang w:eastAsia="en-US"/>
        </w:rPr>
        <w:t xml:space="preserve">when </w:t>
      </w:r>
      <w:r w:rsidR="00EF09F7">
        <w:rPr>
          <w:lang w:eastAsia="en-US"/>
        </w:rPr>
        <w:t xml:space="preserve">N310 </w:t>
      </w:r>
      <w:r w:rsidR="00751A70">
        <w:rPr>
          <w:lang w:eastAsia="en-US"/>
        </w:rPr>
        <w:t xml:space="preserve">is </w:t>
      </w:r>
      <w:r w:rsidR="00EF09F7">
        <w:rPr>
          <w:rFonts w:hint="eastAsia"/>
          <w:lang w:eastAsia="zh-CN"/>
        </w:rPr>
        <w:t>higher</w:t>
      </w:r>
      <w:r w:rsidR="00EF09F7">
        <w:rPr>
          <w:lang w:eastAsia="en-US"/>
        </w:rPr>
        <w:t xml:space="preserve"> </w:t>
      </w:r>
      <w:r w:rsidR="00EF09F7">
        <w:rPr>
          <w:rFonts w:hint="eastAsia"/>
          <w:lang w:eastAsia="zh-CN"/>
        </w:rPr>
        <w:t>t</w:t>
      </w:r>
      <w:r w:rsidR="00EF09F7">
        <w:rPr>
          <w:lang w:eastAsia="en-US"/>
        </w:rPr>
        <w:t xml:space="preserve">han 1, and N from starting condition </w:t>
      </w:r>
      <w:r w:rsidR="00751A70">
        <w:rPr>
          <w:lang w:eastAsia="en-US"/>
        </w:rPr>
        <w:t xml:space="preserve">is </w:t>
      </w:r>
      <w:r w:rsidR="00EF09F7">
        <w:rPr>
          <w:lang w:eastAsia="en-US"/>
        </w:rPr>
        <w:t xml:space="preserve">less than N310, </w:t>
      </w:r>
      <w:r w:rsidR="00574098">
        <w:rPr>
          <w:lang w:eastAsia="en-US"/>
        </w:rPr>
        <w:t xml:space="preserve">the </w:t>
      </w:r>
      <w:r w:rsidR="00EF09F7">
        <w:rPr>
          <w:lang w:eastAsia="en-US"/>
        </w:rPr>
        <w:t xml:space="preserve">M number of </w:t>
      </w:r>
      <w:r w:rsidR="00EF09F7" w:rsidRPr="00DD2DE6">
        <w:rPr>
          <w:lang w:eastAsia="en-US"/>
        </w:rPr>
        <w:t xml:space="preserve">consecutive </w:t>
      </w:r>
      <w:r w:rsidR="00EF09F7">
        <w:t>“in-</w:t>
      </w:r>
      <w:r w:rsidR="00EF09F7" w:rsidRPr="00DD2DE6">
        <w:rPr>
          <w:lang w:eastAsia="en-US"/>
        </w:rPr>
        <w:t>sync</w:t>
      </w:r>
      <w:r w:rsidR="00EF09F7">
        <w:t>”</w:t>
      </w:r>
      <w:r w:rsidR="00EF09F7" w:rsidRPr="00DD2DE6">
        <w:rPr>
          <w:lang w:eastAsia="en-US"/>
        </w:rPr>
        <w:t xml:space="preserve"> </w:t>
      </w:r>
      <w:r w:rsidR="00EF09F7">
        <w:t>indications can happen before the start of T310.</w:t>
      </w:r>
    </w:p>
    <w:p w14:paraId="429EF2AD" w14:textId="21A24763" w:rsidR="00E10F3A" w:rsidRPr="0095533A" w:rsidRDefault="00D70521" w:rsidP="00E10F3A">
      <w:pPr>
        <w:pStyle w:val="Proposal"/>
      </w:pPr>
      <w:bookmarkStart w:id="5" w:name="_Toc71581172"/>
      <w:r>
        <w:rPr>
          <w:lang w:val="en-US"/>
        </w:rPr>
        <w:t xml:space="preserve">consider </w:t>
      </w:r>
      <w:r w:rsidR="00E30732">
        <w:rPr>
          <w:lang w:val="en-US"/>
        </w:rPr>
        <w:t xml:space="preserve">any of </w:t>
      </w:r>
      <w:proofErr w:type="gramStart"/>
      <w:r w:rsidR="00E30732">
        <w:rPr>
          <w:lang w:val="en-US"/>
        </w:rPr>
        <w:t xml:space="preserve">the </w:t>
      </w:r>
      <w:r>
        <w:rPr>
          <w:lang w:val="en-US"/>
        </w:rPr>
        <w:t xml:space="preserve"> conditions</w:t>
      </w:r>
      <w:proofErr w:type="gramEnd"/>
      <w:r>
        <w:rPr>
          <w:lang w:val="en-US"/>
        </w:rPr>
        <w:t>, including serving cell quality and consecutive “out-of-sync” or “in-sync” indications</w:t>
      </w:r>
      <w:r w:rsidR="00054D83">
        <w:rPr>
          <w:lang w:val="en-US"/>
        </w:rPr>
        <w:t>.</w:t>
      </w:r>
      <w:bookmarkEnd w:id="5"/>
    </w:p>
    <w:p w14:paraId="33749CDC" w14:textId="57197DBE" w:rsidR="00EA2379" w:rsidRDefault="00EA2379" w:rsidP="00403245">
      <w:pPr>
        <w:pStyle w:val="Heading2"/>
      </w:pPr>
      <w:r w:rsidRPr="00823A01">
        <w:t>2.</w:t>
      </w:r>
      <w:r w:rsidR="00803DC4">
        <w:t>3</w:t>
      </w:r>
      <w:r>
        <w:tab/>
        <w:t>Fast</w:t>
      </w:r>
      <w:r w:rsidR="000E6921">
        <w:t>/Early</w:t>
      </w:r>
      <w:r>
        <w:t xml:space="preserve"> RLF </w:t>
      </w:r>
    </w:p>
    <w:p w14:paraId="4AF7962D" w14:textId="0FCC0257" w:rsidR="00F07FBF" w:rsidRDefault="00403245" w:rsidP="00054D83">
      <w:r>
        <w:t xml:space="preserve">Fast RLF was introduced for </w:t>
      </w:r>
      <w:proofErr w:type="spellStart"/>
      <w:r>
        <w:t>HetNet</w:t>
      </w:r>
      <w:proofErr w:type="spellEnd"/>
      <w:r>
        <w:t xml:space="preserve">, </w:t>
      </w:r>
      <w:r w:rsidR="00685C19">
        <w:t>wh</w:t>
      </w:r>
      <w:r>
        <w:t>en</w:t>
      </w:r>
      <w:r w:rsidR="00685C19">
        <w:t xml:space="preserve"> UE moves from </w:t>
      </w:r>
      <w:proofErr w:type="spellStart"/>
      <w:r w:rsidR="00685C19">
        <w:t>pico</w:t>
      </w:r>
      <w:proofErr w:type="spellEnd"/>
      <w:r w:rsidR="00685C19">
        <w:t xml:space="preserve"> cell to macro cell</w:t>
      </w:r>
      <w:r>
        <w:t>,</w:t>
      </w:r>
      <w:r w:rsidR="00685C19">
        <w:t xml:space="preserve"> it was considered unnecessary for the UE to wait for timer T310 to expire before triggering the RRC re-establishment procedure towards the target eNB, given that the target eNB is likely to be prepared for the UE much earlier</w:t>
      </w:r>
      <w:r>
        <w:t>.</w:t>
      </w:r>
    </w:p>
    <w:p w14:paraId="03A98924" w14:textId="16F659CB" w:rsidR="00406478" w:rsidRDefault="00EC4644" w:rsidP="00054D83">
      <w:r>
        <w:t>It is not clear as how fast RLF is to be envisioned for NB-</w:t>
      </w:r>
      <w:r w:rsidR="00FE2351">
        <w:t>IoT</w:t>
      </w:r>
      <w:r>
        <w:t xml:space="preserve">. </w:t>
      </w:r>
      <w:r w:rsidR="00406478">
        <w:t>It is not clear which measurement can be used to trigger fast RLF. If a new timer like T312 is to be introduced, we need to check the setting of T312 as to balance the time reduction to RRC reestablishment and the impact on the reduction of RLF recovery.</w:t>
      </w:r>
      <w:r w:rsidR="00403245">
        <w:t xml:space="preserve"> Considering that measurement reporting is not supported, it would not be possible for the network to collect enough information to trigger starting timers such as T312 properly.</w:t>
      </w:r>
    </w:p>
    <w:p w14:paraId="644F8EF0" w14:textId="4B57411C" w:rsidR="00FB1F28" w:rsidRDefault="00FB1F28" w:rsidP="00FB1F28">
      <w:pPr>
        <w:pStyle w:val="Observation"/>
        <w:overflowPunct/>
        <w:autoSpaceDE/>
        <w:autoSpaceDN/>
        <w:adjustRightInd/>
        <w:textAlignment w:val="auto"/>
      </w:pPr>
      <w:bookmarkStart w:id="6" w:name="_Toc68210336"/>
      <w:r>
        <w:rPr>
          <w:rFonts w:cs="Arial"/>
          <w:lang w:val="en-US"/>
        </w:rPr>
        <w:t xml:space="preserve">Fast RLF was introduced for </w:t>
      </w:r>
      <w:proofErr w:type="spellStart"/>
      <w:r>
        <w:rPr>
          <w:rFonts w:cs="Arial"/>
          <w:lang w:val="en-US"/>
        </w:rPr>
        <w:t>HetNet</w:t>
      </w:r>
      <w:proofErr w:type="spellEnd"/>
      <w:r>
        <w:rPr>
          <w:rFonts w:cs="Arial"/>
          <w:lang w:val="en-US"/>
        </w:rPr>
        <w:t xml:space="preserve"> sce</w:t>
      </w:r>
      <w:r w:rsidR="00542CC1">
        <w:rPr>
          <w:rFonts w:cs="Arial"/>
          <w:lang w:val="en-US"/>
        </w:rPr>
        <w:t>nario</w:t>
      </w:r>
      <w:r w:rsidR="00403245">
        <w:rPr>
          <w:rFonts w:cs="Arial"/>
          <w:lang w:val="en-US"/>
        </w:rPr>
        <w:t>.</w:t>
      </w:r>
      <w:r w:rsidR="00542CC1">
        <w:rPr>
          <w:rFonts w:cs="Arial"/>
          <w:lang w:val="en-US"/>
        </w:rPr>
        <w:t xml:space="preserve"> </w:t>
      </w:r>
      <w:r w:rsidR="00403245">
        <w:rPr>
          <w:rFonts w:cs="Arial"/>
          <w:lang w:val="en-US"/>
        </w:rPr>
        <w:t>I</w:t>
      </w:r>
      <w:r w:rsidR="00542CC1">
        <w:rPr>
          <w:rFonts w:cs="Arial"/>
          <w:lang w:val="en-US"/>
        </w:rPr>
        <w:t xml:space="preserve">t is not clear how </w:t>
      </w:r>
      <w:r w:rsidR="00FE2351">
        <w:rPr>
          <w:rFonts w:cs="Arial"/>
          <w:lang w:val="en-US"/>
        </w:rPr>
        <w:t>fast</w:t>
      </w:r>
      <w:r w:rsidR="00403245">
        <w:rPr>
          <w:rFonts w:cs="Arial"/>
          <w:lang w:val="en-US"/>
        </w:rPr>
        <w:t>/early</w:t>
      </w:r>
      <w:r w:rsidR="00FE2351">
        <w:rPr>
          <w:rFonts w:cs="Arial"/>
          <w:lang w:val="en-US"/>
        </w:rPr>
        <w:t xml:space="preserve"> RLF </w:t>
      </w:r>
      <w:r w:rsidR="00542CC1">
        <w:rPr>
          <w:rFonts w:cs="Arial"/>
          <w:lang w:val="en-US"/>
        </w:rPr>
        <w:t xml:space="preserve">can be </w:t>
      </w:r>
      <w:r w:rsidR="00C62373">
        <w:rPr>
          <w:rFonts w:cs="Arial"/>
          <w:lang w:val="en-US"/>
        </w:rPr>
        <w:t>useful for NB-IoT</w:t>
      </w:r>
      <w:bookmarkEnd w:id="6"/>
      <w:r w:rsidR="00403245">
        <w:rPr>
          <w:rFonts w:cs="Arial"/>
          <w:lang w:val="en-US"/>
        </w:rPr>
        <w:t>.</w:t>
      </w:r>
    </w:p>
    <w:p w14:paraId="280B8BD4" w14:textId="5161AE70" w:rsidR="00C62373" w:rsidRPr="0095533A" w:rsidRDefault="00403245" w:rsidP="00C62373">
      <w:pPr>
        <w:pStyle w:val="Proposal"/>
      </w:pPr>
      <w:bookmarkStart w:id="7" w:name="_Toc71581173"/>
      <w:r>
        <w:rPr>
          <w:lang w:val="en-US"/>
        </w:rPr>
        <w:t>Suggest not to support</w:t>
      </w:r>
      <w:r w:rsidR="00EC4644">
        <w:rPr>
          <w:lang w:val="en-US"/>
        </w:rPr>
        <w:t xml:space="preserve"> fast</w:t>
      </w:r>
      <w:r>
        <w:rPr>
          <w:lang w:val="en-US"/>
        </w:rPr>
        <w:t>/early</w:t>
      </w:r>
      <w:r w:rsidR="00EC4644">
        <w:rPr>
          <w:lang w:val="en-US"/>
        </w:rPr>
        <w:t xml:space="preserve"> RLF for NB-I</w:t>
      </w:r>
      <w:r>
        <w:rPr>
          <w:lang w:val="en-US"/>
        </w:rPr>
        <w:t>o</w:t>
      </w:r>
      <w:r w:rsidR="00EC4644">
        <w:rPr>
          <w:lang w:val="en-US"/>
        </w:rPr>
        <w:t>T</w:t>
      </w:r>
      <w:r>
        <w:rPr>
          <w:lang w:val="en-US"/>
        </w:rPr>
        <w:t>.</w:t>
      </w:r>
      <w:bookmarkEnd w:id="7"/>
    </w:p>
    <w:p w14:paraId="2A932301" w14:textId="77777777" w:rsidR="00C01F33" w:rsidRPr="00CE0424" w:rsidRDefault="00C01F33" w:rsidP="00CE0424">
      <w:pPr>
        <w:pStyle w:val="Heading1"/>
      </w:pPr>
      <w:r w:rsidRPr="00CE0424">
        <w:t>Conclusion</w:t>
      </w:r>
    </w:p>
    <w:p w14:paraId="1F1C147B" w14:textId="77777777" w:rsidR="00401CA4" w:rsidRDefault="00401CA4" w:rsidP="00401CA4">
      <w:pPr>
        <w:pStyle w:val="BodyText"/>
        <w:rPr>
          <w:b/>
          <w:bCs/>
        </w:rPr>
      </w:pPr>
      <w:r>
        <w:t>In the previous sections we made the following observations:</w:t>
      </w:r>
      <w:r>
        <w:rPr>
          <w:b/>
          <w:bCs/>
        </w:rPr>
        <w:t xml:space="preserve"> </w:t>
      </w:r>
    </w:p>
    <w:p w14:paraId="78BDE8E2" w14:textId="079543E1" w:rsidR="00056BF5" w:rsidRDefault="00401CA4">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210334" w:history="1">
        <w:r w:rsidR="00056BF5" w:rsidRPr="007D6800">
          <w:rPr>
            <w:rStyle w:val="Hyperlink"/>
            <w:noProof/>
          </w:rPr>
          <w:t>Observation 1</w:t>
        </w:r>
        <w:r w:rsidR="00056BF5">
          <w:rPr>
            <w:rFonts w:asciiTheme="minorHAnsi" w:eastAsiaTheme="minorEastAsia" w:hAnsiTheme="minorHAnsi" w:cstheme="minorBidi"/>
            <w:b w:val="0"/>
            <w:noProof/>
            <w:sz w:val="22"/>
            <w:szCs w:val="22"/>
            <w:lang w:val="sv-SE" w:eastAsia="sv-SE"/>
          </w:rPr>
          <w:tab/>
        </w:r>
        <w:r w:rsidR="00CF5BA2">
          <w:rPr>
            <w:rFonts w:cs="Arial"/>
            <w:lang w:val="en-US"/>
          </w:rPr>
          <w:t>Fast RLF was introduced for HetNet scenario. It is not clear how fast/early RLF can be useful for NB-IoT</w:t>
        </w:r>
        <w:r w:rsidR="00056BF5" w:rsidRPr="007D6800">
          <w:rPr>
            <w:rStyle w:val="Hyperlink"/>
            <w:noProof/>
            <w:lang w:val="en-US"/>
          </w:rPr>
          <w:t>.</w:t>
        </w:r>
      </w:hyperlink>
    </w:p>
    <w:p w14:paraId="6489A6B1" w14:textId="26251C5D" w:rsidR="006E1C82" w:rsidRDefault="00401CA4" w:rsidP="00401CA4">
      <w:pPr>
        <w:pStyle w:val="BodyText"/>
        <w:rPr>
          <w:b/>
          <w:bCs/>
        </w:rPr>
      </w:pPr>
      <w:r>
        <w:rPr>
          <w:b/>
          <w:bCs/>
        </w:rPr>
        <w:fldChar w:fldCharType="end"/>
      </w:r>
    </w:p>
    <w:p w14:paraId="31001E42" w14:textId="65CB7B38" w:rsidR="00150327" w:rsidRPr="00150327" w:rsidRDefault="008E065E" w:rsidP="00150327">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FBCBDC6" w14:textId="2D1345BA" w:rsidR="0084782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81170" w:history="1">
        <w:r w:rsidR="0084782E" w:rsidRPr="000D455C">
          <w:rPr>
            <w:rStyle w:val="Hyperlink"/>
            <w:noProof/>
          </w:rPr>
          <w:t>Proposal 1</w:t>
        </w:r>
        <w:r w:rsidR="0084782E">
          <w:rPr>
            <w:rFonts w:asciiTheme="minorHAnsi" w:eastAsiaTheme="minorEastAsia" w:hAnsiTheme="minorHAnsi" w:cstheme="minorBidi"/>
            <w:b w:val="0"/>
            <w:noProof/>
            <w:sz w:val="22"/>
            <w:szCs w:val="22"/>
            <w:lang w:val="sv-SE" w:eastAsia="sv-SE"/>
          </w:rPr>
          <w:tab/>
        </w:r>
        <w:r w:rsidR="0084782E" w:rsidRPr="000D455C">
          <w:rPr>
            <w:rStyle w:val="Hyperlink"/>
            <w:noProof/>
          </w:rPr>
          <w:t>Any enhancement in relation to the Rel-17 WI objective to reduce the time taken to RRC reestablishment to another cell only concerns up to reference point C displayed in the diagram included</w:t>
        </w:r>
        <w:r w:rsidR="0084782E" w:rsidRPr="000D455C">
          <w:rPr>
            <w:rStyle w:val="Hyperlink"/>
            <w:rFonts w:cs="Arial"/>
            <w:noProof/>
          </w:rPr>
          <w:t xml:space="preserve"> in the email discussion after RAN2#111e</w:t>
        </w:r>
        <w:r w:rsidR="0084782E" w:rsidRPr="000D455C">
          <w:rPr>
            <w:rStyle w:val="Hyperlink"/>
            <w:noProof/>
          </w:rPr>
          <w:t>.</w:t>
        </w:r>
      </w:hyperlink>
    </w:p>
    <w:p w14:paraId="56C91C1C" w14:textId="1AE92CEB" w:rsidR="0084782E" w:rsidRDefault="008478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1171" w:history="1">
        <w:r w:rsidRPr="000D455C">
          <w:rPr>
            <w:rStyle w:val="Hyperlink"/>
            <w:noProof/>
          </w:rPr>
          <w:t>Proposal 2</w:t>
        </w:r>
        <w:r>
          <w:rPr>
            <w:rFonts w:asciiTheme="minorHAnsi" w:eastAsiaTheme="minorEastAsia" w:hAnsiTheme="minorHAnsi" w:cstheme="minorBidi"/>
            <w:b w:val="0"/>
            <w:noProof/>
            <w:sz w:val="22"/>
            <w:szCs w:val="22"/>
            <w:lang w:val="sv-SE" w:eastAsia="sv-SE"/>
          </w:rPr>
          <w:tab/>
        </w:r>
        <w:r w:rsidRPr="000D455C">
          <w:rPr>
            <w:rStyle w:val="Hyperlink"/>
            <w:noProof/>
            <w:lang w:val="en-US"/>
          </w:rPr>
          <w:t>NW should configure triggering conditions to start and stop UE measurement during RRC_CONNECTED mode.</w:t>
        </w:r>
      </w:hyperlink>
    </w:p>
    <w:p w14:paraId="7C484D70" w14:textId="33C9BA08" w:rsidR="0084782E" w:rsidRDefault="008478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1172" w:history="1">
        <w:r w:rsidRPr="000D455C">
          <w:rPr>
            <w:rStyle w:val="Hyperlink"/>
            <w:noProof/>
          </w:rPr>
          <w:t>Proposal 3</w:t>
        </w:r>
        <w:r>
          <w:rPr>
            <w:rFonts w:asciiTheme="minorHAnsi" w:eastAsiaTheme="minorEastAsia" w:hAnsiTheme="minorHAnsi" w:cstheme="minorBidi"/>
            <w:b w:val="0"/>
            <w:noProof/>
            <w:sz w:val="22"/>
            <w:szCs w:val="22"/>
            <w:lang w:val="sv-SE" w:eastAsia="sv-SE"/>
          </w:rPr>
          <w:tab/>
        </w:r>
        <w:r w:rsidRPr="000D455C">
          <w:rPr>
            <w:rStyle w:val="Hyperlink"/>
            <w:noProof/>
            <w:lang w:val="en-US"/>
          </w:rPr>
          <w:t>consider any of the  conditions, including serving cell quality and consecutive “out-of-sync” or “in-sync” indications.</w:t>
        </w:r>
      </w:hyperlink>
    </w:p>
    <w:p w14:paraId="7CCFB7C5" w14:textId="5EAA8622" w:rsidR="0084782E" w:rsidRDefault="0084782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1173" w:history="1">
        <w:r w:rsidRPr="000D455C">
          <w:rPr>
            <w:rStyle w:val="Hyperlink"/>
            <w:noProof/>
          </w:rPr>
          <w:t>Proposal 4</w:t>
        </w:r>
        <w:r>
          <w:rPr>
            <w:rFonts w:asciiTheme="minorHAnsi" w:eastAsiaTheme="minorEastAsia" w:hAnsiTheme="minorHAnsi" w:cstheme="minorBidi"/>
            <w:b w:val="0"/>
            <w:noProof/>
            <w:sz w:val="22"/>
            <w:szCs w:val="22"/>
            <w:lang w:val="sv-SE" w:eastAsia="sv-SE"/>
          </w:rPr>
          <w:tab/>
        </w:r>
        <w:r w:rsidRPr="000D455C">
          <w:rPr>
            <w:rStyle w:val="Hyperlink"/>
            <w:noProof/>
            <w:lang w:val="en-US"/>
          </w:rPr>
          <w:t>Suggest not to support fast/early RLF for NB-IoT.</w:t>
        </w:r>
      </w:hyperlink>
    </w:p>
    <w:p w14:paraId="10E37F0C" w14:textId="1B39B40B" w:rsidR="00311702" w:rsidRPr="00CE0424" w:rsidRDefault="006E1C82" w:rsidP="001F0497">
      <w:pPr>
        <w:pStyle w:val="BodyText"/>
      </w:pPr>
      <w:r>
        <w:rPr>
          <w:b/>
          <w:bCs/>
          <w:lang w:val="en-US"/>
        </w:rPr>
        <w:fldChar w:fldCharType="end"/>
      </w:r>
    </w:p>
    <w:p w14:paraId="028DAFA7" w14:textId="77777777" w:rsidR="00C01F33" w:rsidRPr="00CE0424" w:rsidRDefault="00C01F33" w:rsidP="006E062C"/>
    <w:p w14:paraId="1098474D" w14:textId="77777777" w:rsidR="00F507D1" w:rsidRPr="00CE0424" w:rsidRDefault="00F507D1" w:rsidP="00CE0424">
      <w:pPr>
        <w:pStyle w:val="Heading1"/>
      </w:pPr>
      <w:bookmarkStart w:id="8" w:name="_In-sequence_SDU_delivery"/>
      <w:bookmarkEnd w:id="8"/>
      <w:r w:rsidRPr="00CE0424">
        <w:t>References</w:t>
      </w:r>
    </w:p>
    <w:p w14:paraId="791CADCD" w14:textId="7FD20BEF" w:rsidR="003A7EF3" w:rsidRPr="000F6A7E" w:rsidRDefault="00F20CAB" w:rsidP="00685DB3">
      <w:pPr>
        <w:pStyle w:val="Reference"/>
        <w:rPr>
          <w:rStyle w:val="eop"/>
        </w:rPr>
      </w:pPr>
      <w:bookmarkStart w:id="9" w:name="_Ref174151459"/>
      <w:bookmarkStart w:id="10" w:name="_Ref189809556"/>
      <w:r w:rsidRPr="008332D6">
        <w:rPr>
          <w:rStyle w:val="normaltextrun"/>
          <w:rFonts w:cs="Arial"/>
          <w:color w:val="000000"/>
          <w:sz w:val="22"/>
          <w:szCs w:val="22"/>
          <w:u w:val="single"/>
          <w:shd w:val="clear" w:color="auto" w:fill="E1E3E6"/>
        </w:rPr>
        <w:t>RP-201306</w:t>
      </w:r>
      <w:r w:rsidRPr="008332D6">
        <w:rPr>
          <w:rStyle w:val="normaltextrun"/>
          <w:rFonts w:cs="Arial"/>
          <w:sz w:val="22"/>
          <w:szCs w:val="22"/>
        </w:rPr>
        <w:t>, “WID revision: Additional enhancements for NB-IoT and LTE-MTC”, RAN #88e, Electronic Meeting, June 29</w:t>
      </w:r>
      <w:r w:rsidRPr="008332D6">
        <w:rPr>
          <w:rStyle w:val="normaltextrun"/>
          <w:rFonts w:cs="Arial"/>
          <w:sz w:val="17"/>
          <w:szCs w:val="17"/>
          <w:vertAlign w:val="superscript"/>
        </w:rPr>
        <w:t xml:space="preserve">th </w:t>
      </w:r>
      <w:r w:rsidRPr="008332D6">
        <w:rPr>
          <w:rStyle w:val="normaltextrun"/>
          <w:rFonts w:cs="Arial"/>
          <w:sz w:val="22"/>
          <w:szCs w:val="22"/>
        </w:rPr>
        <w:t>– July 3</w:t>
      </w:r>
      <w:r w:rsidRPr="008332D6">
        <w:rPr>
          <w:rStyle w:val="normaltextrun"/>
          <w:rFonts w:cs="Arial"/>
          <w:sz w:val="17"/>
          <w:szCs w:val="17"/>
          <w:vertAlign w:val="superscript"/>
        </w:rPr>
        <w:t>rd</w:t>
      </w:r>
      <w:r w:rsidRPr="008332D6">
        <w:rPr>
          <w:rStyle w:val="normaltextrun"/>
          <w:rFonts w:cs="Arial"/>
          <w:sz w:val="22"/>
          <w:szCs w:val="22"/>
        </w:rPr>
        <w:t>, 2020.</w:t>
      </w:r>
      <w:r w:rsidRPr="008332D6">
        <w:rPr>
          <w:rStyle w:val="eop"/>
          <w:rFonts w:cs="Arial"/>
          <w:sz w:val="22"/>
          <w:szCs w:val="22"/>
        </w:rPr>
        <w:t> </w:t>
      </w:r>
      <w:bookmarkEnd w:id="9"/>
      <w:bookmarkEnd w:id="10"/>
    </w:p>
    <w:p w14:paraId="3820BFD8" w14:textId="2F583022" w:rsidR="000F6A7E" w:rsidRPr="00CE0424" w:rsidRDefault="000F6A7E" w:rsidP="000F6A7E">
      <w:pPr>
        <w:pStyle w:val="Reference"/>
      </w:pPr>
      <w:bookmarkStart w:id="11" w:name="_Ref69903966"/>
      <w:r w:rsidRPr="004A03DE">
        <w:t>R4-2105800</w:t>
      </w:r>
      <w:r>
        <w:tab/>
      </w:r>
      <w:r>
        <w:tab/>
      </w:r>
      <w:r w:rsidRPr="004A03DE">
        <w:t>Reply LS on neighbour cell measurement in NB-IoT RRC_CONNECTED state, RAN4, April 2021</w:t>
      </w:r>
      <w:bookmarkEnd w:id="11"/>
    </w:p>
    <w:sectPr w:rsidR="000F6A7E"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429F5" w16cex:dateUtc="2021-05-10T19:53:00Z"/>
  <w16cex:commentExtensible w16cex:durableId="2443D71A" w16cex:dateUtc="2021-05-10T14:00:00Z"/>
  <w16cex:commentExtensible w16cex:durableId="24442AC0" w16cex:dateUtc="2021-05-10T19:57:00Z"/>
  <w16cex:commentExtensible w16cex:durableId="2443D83B" w16cex:dateUtc="2021-05-10T14:05:00Z"/>
  <w16cex:commentExtensible w16cex:durableId="24442A93" w16cex:dateUtc="2021-05-10T19: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F6D74" w14:textId="77777777" w:rsidR="00DC5C96" w:rsidRDefault="00DC5C96">
      <w:r>
        <w:separator/>
      </w:r>
    </w:p>
  </w:endnote>
  <w:endnote w:type="continuationSeparator" w:id="0">
    <w:p w14:paraId="47B4698B" w14:textId="77777777" w:rsidR="00DC5C96" w:rsidRDefault="00DC5C96">
      <w:r>
        <w:continuationSeparator/>
      </w:r>
    </w:p>
  </w:endnote>
  <w:endnote w:type="continuationNotice" w:id="1">
    <w:p w14:paraId="4CCB0B1A" w14:textId="77777777" w:rsidR="00DC5C96" w:rsidRDefault="00DC5C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8FEB" w14:textId="77777777" w:rsidR="00032B87" w:rsidRDefault="00032B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FF37A" w14:textId="77777777" w:rsidR="00DC5C96" w:rsidRDefault="00DC5C96">
      <w:r>
        <w:separator/>
      </w:r>
    </w:p>
  </w:footnote>
  <w:footnote w:type="continuationSeparator" w:id="0">
    <w:p w14:paraId="7386AB9A" w14:textId="77777777" w:rsidR="00DC5C96" w:rsidRDefault="00DC5C96">
      <w:r>
        <w:continuationSeparator/>
      </w:r>
    </w:p>
  </w:footnote>
  <w:footnote w:type="continuationNotice" w:id="1">
    <w:p w14:paraId="04277856" w14:textId="77777777" w:rsidR="00DC5C96" w:rsidRDefault="00DC5C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63D9" w14:textId="77777777" w:rsidR="00032B87" w:rsidRDefault="00032B8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D623B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3601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CF53CE"/>
    <w:multiLevelType w:val="hybridMultilevel"/>
    <w:tmpl w:val="9224E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1F1407B4"/>
    <w:multiLevelType w:val="hybridMultilevel"/>
    <w:tmpl w:val="E74E624E"/>
    <w:lvl w:ilvl="0" w:tplc="4C0AA180">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20099B"/>
    <w:multiLevelType w:val="hybridMultilevel"/>
    <w:tmpl w:val="3F4A8F90"/>
    <w:lvl w:ilvl="0" w:tplc="24287AA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842919"/>
    <w:multiLevelType w:val="hybridMultilevel"/>
    <w:tmpl w:val="A4AAB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D1C87558"/>
    <w:lvl w:ilvl="0" w:tplc="4C28F51C">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6C4440"/>
    <w:multiLevelType w:val="hybridMultilevel"/>
    <w:tmpl w:val="2370DE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036AA"/>
    <w:multiLevelType w:val="hybridMultilevel"/>
    <w:tmpl w:val="ABDA68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B53B52"/>
    <w:multiLevelType w:val="hybridMultilevel"/>
    <w:tmpl w:val="DDA0CAF4"/>
    <w:lvl w:ilvl="0" w:tplc="DEB0B74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422EEE"/>
    <w:multiLevelType w:val="hybridMultilevel"/>
    <w:tmpl w:val="21DC6168"/>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EAB54AB"/>
    <w:multiLevelType w:val="hybridMultilevel"/>
    <w:tmpl w:val="B130EC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9C7362"/>
    <w:multiLevelType w:val="hybridMultilevel"/>
    <w:tmpl w:val="7B6C59EE"/>
    <w:lvl w:ilvl="0" w:tplc="85D6C9FE">
      <w:start w:val="1"/>
      <w:numFmt w:val="bullet"/>
      <w:lvlText w:val="•"/>
      <w:lvlJc w:val="left"/>
      <w:pPr>
        <w:tabs>
          <w:tab w:val="num" w:pos="720"/>
        </w:tabs>
        <w:ind w:left="720" w:hanging="360"/>
      </w:pPr>
      <w:rPr>
        <w:rFonts w:ascii="Arial" w:hAnsi="Arial" w:hint="default"/>
      </w:rPr>
    </w:lvl>
    <w:lvl w:ilvl="1" w:tplc="C0C4C742">
      <w:start w:val="1"/>
      <w:numFmt w:val="bullet"/>
      <w:lvlText w:val="•"/>
      <w:lvlJc w:val="left"/>
      <w:pPr>
        <w:tabs>
          <w:tab w:val="num" w:pos="1440"/>
        </w:tabs>
        <w:ind w:left="1440" w:hanging="360"/>
      </w:pPr>
      <w:rPr>
        <w:rFonts w:ascii="Arial" w:hAnsi="Arial" w:hint="default"/>
      </w:rPr>
    </w:lvl>
    <w:lvl w:ilvl="2" w:tplc="E1422016" w:tentative="1">
      <w:start w:val="1"/>
      <w:numFmt w:val="bullet"/>
      <w:lvlText w:val="•"/>
      <w:lvlJc w:val="left"/>
      <w:pPr>
        <w:tabs>
          <w:tab w:val="num" w:pos="2160"/>
        </w:tabs>
        <w:ind w:left="2160" w:hanging="360"/>
      </w:pPr>
      <w:rPr>
        <w:rFonts w:ascii="Arial" w:hAnsi="Arial" w:hint="default"/>
      </w:rPr>
    </w:lvl>
    <w:lvl w:ilvl="3" w:tplc="40C65B50" w:tentative="1">
      <w:start w:val="1"/>
      <w:numFmt w:val="bullet"/>
      <w:lvlText w:val="•"/>
      <w:lvlJc w:val="left"/>
      <w:pPr>
        <w:tabs>
          <w:tab w:val="num" w:pos="2880"/>
        </w:tabs>
        <w:ind w:left="2880" w:hanging="360"/>
      </w:pPr>
      <w:rPr>
        <w:rFonts w:ascii="Arial" w:hAnsi="Arial" w:hint="default"/>
      </w:rPr>
    </w:lvl>
    <w:lvl w:ilvl="4" w:tplc="95D47120" w:tentative="1">
      <w:start w:val="1"/>
      <w:numFmt w:val="bullet"/>
      <w:lvlText w:val="•"/>
      <w:lvlJc w:val="left"/>
      <w:pPr>
        <w:tabs>
          <w:tab w:val="num" w:pos="3600"/>
        </w:tabs>
        <w:ind w:left="3600" w:hanging="360"/>
      </w:pPr>
      <w:rPr>
        <w:rFonts w:ascii="Arial" w:hAnsi="Arial" w:hint="default"/>
      </w:rPr>
    </w:lvl>
    <w:lvl w:ilvl="5" w:tplc="365E0094" w:tentative="1">
      <w:start w:val="1"/>
      <w:numFmt w:val="bullet"/>
      <w:lvlText w:val="•"/>
      <w:lvlJc w:val="left"/>
      <w:pPr>
        <w:tabs>
          <w:tab w:val="num" w:pos="4320"/>
        </w:tabs>
        <w:ind w:left="4320" w:hanging="360"/>
      </w:pPr>
      <w:rPr>
        <w:rFonts w:ascii="Arial" w:hAnsi="Arial" w:hint="default"/>
      </w:rPr>
    </w:lvl>
    <w:lvl w:ilvl="6" w:tplc="9684EB94" w:tentative="1">
      <w:start w:val="1"/>
      <w:numFmt w:val="bullet"/>
      <w:lvlText w:val="•"/>
      <w:lvlJc w:val="left"/>
      <w:pPr>
        <w:tabs>
          <w:tab w:val="num" w:pos="5040"/>
        </w:tabs>
        <w:ind w:left="5040" w:hanging="360"/>
      </w:pPr>
      <w:rPr>
        <w:rFonts w:ascii="Arial" w:hAnsi="Arial" w:hint="default"/>
      </w:rPr>
    </w:lvl>
    <w:lvl w:ilvl="7" w:tplc="34203EF4" w:tentative="1">
      <w:start w:val="1"/>
      <w:numFmt w:val="bullet"/>
      <w:lvlText w:val="•"/>
      <w:lvlJc w:val="left"/>
      <w:pPr>
        <w:tabs>
          <w:tab w:val="num" w:pos="5760"/>
        </w:tabs>
        <w:ind w:left="5760" w:hanging="360"/>
      </w:pPr>
      <w:rPr>
        <w:rFonts w:ascii="Arial" w:hAnsi="Arial" w:hint="default"/>
      </w:rPr>
    </w:lvl>
    <w:lvl w:ilvl="8" w:tplc="7AE8AA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C1241F"/>
    <w:multiLevelType w:val="hybridMultilevel"/>
    <w:tmpl w:val="EE3AD480"/>
    <w:lvl w:ilvl="0" w:tplc="DE725042">
      <w:start w:val="15"/>
      <w:numFmt w:val="upperLetter"/>
      <w:lvlText w:val="%1."/>
      <w:lvlJc w:val="left"/>
      <w:pPr>
        <w:ind w:left="720" w:hanging="360"/>
      </w:pPr>
    </w:lvl>
    <w:lvl w:ilvl="1" w:tplc="55AAE636">
      <w:start w:val="1"/>
      <w:numFmt w:val="lowerLetter"/>
      <w:lvlText w:val="%2."/>
      <w:lvlJc w:val="left"/>
      <w:pPr>
        <w:ind w:left="1440" w:hanging="360"/>
      </w:pPr>
    </w:lvl>
    <w:lvl w:ilvl="2" w:tplc="6AC8FF0E">
      <w:start w:val="1"/>
      <w:numFmt w:val="lowerRoman"/>
      <w:lvlText w:val="%3."/>
      <w:lvlJc w:val="right"/>
      <w:pPr>
        <w:ind w:left="2160" w:hanging="180"/>
      </w:pPr>
    </w:lvl>
    <w:lvl w:ilvl="3" w:tplc="72BAA992">
      <w:start w:val="1"/>
      <w:numFmt w:val="decimal"/>
      <w:lvlText w:val="%4."/>
      <w:lvlJc w:val="left"/>
      <w:pPr>
        <w:ind w:left="2880" w:hanging="360"/>
      </w:pPr>
    </w:lvl>
    <w:lvl w:ilvl="4" w:tplc="DB98FBC2">
      <w:start w:val="1"/>
      <w:numFmt w:val="lowerLetter"/>
      <w:lvlText w:val="%5."/>
      <w:lvlJc w:val="left"/>
      <w:pPr>
        <w:ind w:left="3600" w:hanging="360"/>
      </w:pPr>
    </w:lvl>
    <w:lvl w:ilvl="5" w:tplc="C5D64C56">
      <w:start w:val="1"/>
      <w:numFmt w:val="lowerRoman"/>
      <w:lvlText w:val="%6."/>
      <w:lvlJc w:val="right"/>
      <w:pPr>
        <w:ind w:left="4320" w:hanging="180"/>
      </w:pPr>
    </w:lvl>
    <w:lvl w:ilvl="6" w:tplc="D9648704">
      <w:start w:val="1"/>
      <w:numFmt w:val="decimal"/>
      <w:lvlText w:val="%7."/>
      <w:lvlJc w:val="left"/>
      <w:pPr>
        <w:ind w:left="5040" w:hanging="360"/>
      </w:pPr>
    </w:lvl>
    <w:lvl w:ilvl="7" w:tplc="1DB4FB76">
      <w:start w:val="1"/>
      <w:numFmt w:val="lowerLetter"/>
      <w:lvlText w:val="%8."/>
      <w:lvlJc w:val="left"/>
      <w:pPr>
        <w:ind w:left="5760" w:hanging="360"/>
      </w:pPr>
    </w:lvl>
    <w:lvl w:ilvl="8" w:tplc="9496A398">
      <w:start w:val="1"/>
      <w:numFmt w:val="lowerRoman"/>
      <w:lvlText w:val="%9."/>
      <w:lvlJc w:val="right"/>
      <w:pPr>
        <w:ind w:left="6480" w:hanging="180"/>
      </w:pPr>
    </w:lvl>
  </w:abstractNum>
  <w:num w:numId="1">
    <w:abstractNumId w:val="3"/>
  </w:num>
  <w:num w:numId="2">
    <w:abstractNumId w:val="23"/>
  </w:num>
  <w:num w:numId="3">
    <w:abstractNumId w:val="18"/>
  </w:num>
  <w:num w:numId="4">
    <w:abstractNumId w:val="19"/>
  </w:num>
  <w:num w:numId="5">
    <w:abstractNumId w:val="14"/>
  </w:num>
  <w:num w:numId="6">
    <w:abstractNumId w:val="21"/>
  </w:num>
  <w:num w:numId="7">
    <w:abstractNumId w:val="28"/>
  </w:num>
  <w:num w:numId="8">
    <w:abstractNumId w:val="15"/>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9"/>
  </w:num>
  <w:num w:numId="17">
    <w:abstractNumId w:val="8"/>
  </w:num>
  <w:num w:numId="18">
    <w:abstractNumId w:val="11"/>
  </w:num>
  <w:num w:numId="19">
    <w:abstractNumId w:val="4"/>
  </w:num>
  <w:num w:numId="20">
    <w:abstractNumId w:val="35"/>
  </w:num>
  <w:num w:numId="21">
    <w:abstractNumId w:val="17"/>
  </w:num>
  <w:num w:numId="22">
    <w:abstractNumId w:val="31"/>
  </w:num>
  <w:num w:numId="23">
    <w:abstractNumId w:val="6"/>
  </w:num>
  <w:num w:numId="24">
    <w:abstractNumId w:val="24"/>
  </w:num>
  <w:num w:numId="25">
    <w:abstractNumId w:val="32"/>
  </w:num>
  <w:num w:numId="26">
    <w:abstractNumId w:val="5"/>
  </w:num>
  <w:num w:numId="27">
    <w:abstractNumId w:val="22"/>
  </w:num>
  <w:num w:numId="28">
    <w:abstractNumId w:val="36"/>
  </w:num>
  <w:num w:numId="29">
    <w:abstractNumId w:val="33"/>
  </w:num>
  <w:num w:numId="30">
    <w:abstractNumId w:val="16"/>
  </w:num>
  <w:num w:numId="31">
    <w:abstractNumId w:val="10"/>
  </w:num>
  <w:num w:numId="32">
    <w:abstractNumId w:val="27"/>
  </w:num>
  <w:num w:numId="33">
    <w:abstractNumId w:val="7"/>
  </w:num>
  <w:num w:numId="34">
    <w:abstractNumId w:val="34"/>
  </w:num>
  <w:num w:numId="35">
    <w:abstractNumId w:val="9"/>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29"/>
    <w:rsid w:val="000006E1"/>
    <w:rsid w:val="00002A37"/>
    <w:rsid w:val="0000564C"/>
    <w:rsid w:val="00006446"/>
    <w:rsid w:val="00006896"/>
    <w:rsid w:val="00006971"/>
    <w:rsid w:val="00007CDC"/>
    <w:rsid w:val="00011B28"/>
    <w:rsid w:val="00015D15"/>
    <w:rsid w:val="0002423D"/>
    <w:rsid w:val="0002564D"/>
    <w:rsid w:val="00025ECA"/>
    <w:rsid w:val="000325B8"/>
    <w:rsid w:val="00032B87"/>
    <w:rsid w:val="00034C15"/>
    <w:rsid w:val="0003669C"/>
    <w:rsid w:val="00036BA1"/>
    <w:rsid w:val="000422E2"/>
    <w:rsid w:val="00042F22"/>
    <w:rsid w:val="000444EF"/>
    <w:rsid w:val="00045463"/>
    <w:rsid w:val="00046B90"/>
    <w:rsid w:val="00052A07"/>
    <w:rsid w:val="000534E3"/>
    <w:rsid w:val="00054D83"/>
    <w:rsid w:val="0005606A"/>
    <w:rsid w:val="00056BF5"/>
    <w:rsid w:val="00057117"/>
    <w:rsid w:val="000616E7"/>
    <w:rsid w:val="00062C08"/>
    <w:rsid w:val="000632F2"/>
    <w:rsid w:val="0006487E"/>
    <w:rsid w:val="00065E1A"/>
    <w:rsid w:val="00077E5F"/>
    <w:rsid w:val="0008036A"/>
    <w:rsid w:val="00081AE6"/>
    <w:rsid w:val="00084178"/>
    <w:rsid w:val="000855EB"/>
    <w:rsid w:val="00085B52"/>
    <w:rsid w:val="000866F2"/>
    <w:rsid w:val="00087896"/>
    <w:rsid w:val="0009009F"/>
    <w:rsid w:val="00091557"/>
    <w:rsid w:val="000924C1"/>
    <w:rsid w:val="000924F0"/>
    <w:rsid w:val="00093474"/>
    <w:rsid w:val="0009510F"/>
    <w:rsid w:val="000A1B7B"/>
    <w:rsid w:val="000A56F2"/>
    <w:rsid w:val="000B2719"/>
    <w:rsid w:val="000B3A8F"/>
    <w:rsid w:val="000B45BE"/>
    <w:rsid w:val="000B4AB9"/>
    <w:rsid w:val="000B58C3"/>
    <w:rsid w:val="000B61E9"/>
    <w:rsid w:val="000C165A"/>
    <w:rsid w:val="000C28CC"/>
    <w:rsid w:val="000C2E19"/>
    <w:rsid w:val="000D0D07"/>
    <w:rsid w:val="000D4797"/>
    <w:rsid w:val="000E0527"/>
    <w:rsid w:val="000E1E92"/>
    <w:rsid w:val="000E42C5"/>
    <w:rsid w:val="000E5F42"/>
    <w:rsid w:val="000E6921"/>
    <w:rsid w:val="000F06D6"/>
    <w:rsid w:val="000F0EB1"/>
    <w:rsid w:val="000F1106"/>
    <w:rsid w:val="000F3BE9"/>
    <w:rsid w:val="000F3F6C"/>
    <w:rsid w:val="000F6A7E"/>
    <w:rsid w:val="000F6DF3"/>
    <w:rsid w:val="000F75EC"/>
    <w:rsid w:val="001005FF"/>
    <w:rsid w:val="00101F46"/>
    <w:rsid w:val="001062FB"/>
    <w:rsid w:val="001063E6"/>
    <w:rsid w:val="00113CF4"/>
    <w:rsid w:val="001153EA"/>
    <w:rsid w:val="00115643"/>
    <w:rsid w:val="00116765"/>
    <w:rsid w:val="00121375"/>
    <w:rsid w:val="001219F5"/>
    <w:rsid w:val="00121A20"/>
    <w:rsid w:val="0012377F"/>
    <w:rsid w:val="00124314"/>
    <w:rsid w:val="00126B4A"/>
    <w:rsid w:val="00127513"/>
    <w:rsid w:val="00132FD0"/>
    <w:rsid w:val="001344C0"/>
    <w:rsid w:val="001346FA"/>
    <w:rsid w:val="00135252"/>
    <w:rsid w:val="00135272"/>
    <w:rsid w:val="00137AB5"/>
    <w:rsid w:val="00137F0B"/>
    <w:rsid w:val="00150327"/>
    <w:rsid w:val="00151E23"/>
    <w:rsid w:val="001526E0"/>
    <w:rsid w:val="001531A1"/>
    <w:rsid w:val="001551B5"/>
    <w:rsid w:val="001659C1"/>
    <w:rsid w:val="0016664F"/>
    <w:rsid w:val="00166AFD"/>
    <w:rsid w:val="0017180F"/>
    <w:rsid w:val="00173A8E"/>
    <w:rsid w:val="0017502C"/>
    <w:rsid w:val="0018143F"/>
    <w:rsid w:val="00181FF8"/>
    <w:rsid w:val="0018265B"/>
    <w:rsid w:val="00190AC1"/>
    <w:rsid w:val="0019341A"/>
    <w:rsid w:val="001955D1"/>
    <w:rsid w:val="0019560A"/>
    <w:rsid w:val="00197DF9"/>
    <w:rsid w:val="001A0C5F"/>
    <w:rsid w:val="001A1987"/>
    <w:rsid w:val="001A2564"/>
    <w:rsid w:val="001A2C06"/>
    <w:rsid w:val="001A3AC7"/>
    <w:rsid w:val="001A6173"/>
    <w:rsid w:val="001A6CBA"/>
    <w:rsid w:val="001B0D97"/>
    <w:rsid w:val="001B5A5D"/>
    <w:rsid w:val="001B6F41"/>
    <w:rsid w:val="001B7647"/>
    <w:rsid w:val="001C1CE5"/>
    <w:rsid w:val="001C3D2A"/>
    <w:rsid w:val="001D51BA"/>
    <w:rsid w:val="001D53E7"/>
    <w:rsid w:val="001D6342"/>
    <w:rsid w:val="001D6D53"/>
    <w:rsid w:val="001E58E2"/>
    <w:rsid w:val="001E7AED"/>
    <w:rsid w:val="001F0497"/>
    <w:rsid w:val="001F2F40"/>
    <w:rsid w:val="001F3916"/>
    <w:rsid w:val="001F3D62"/>
    <w:rsid w:val="001F54C5"/>
    <w:rsid w:val="001F6029"/>
    <w:rsid w:val="001F662C"/>
    <w:rsid w:val="001F7074"/>
    <w:rsid w:val="00200490"/>
    <w:rsid w:val="00201F3A"/>
    <w:rsid w:val="00203F96"/>
    <w:rsid w:val="002069B2"/>
    <w:rsid w:val="00206AF1"/>
    <w:rsid w:val="00207FA3"/>
    <w:rsid w:val="00214DA8"/>
    <w:rsid w:val="00215423"/>
    <w:rsid w:val="002158FA"/>
    <w:rsid w:val="00220600"/>
    <w:rsid w:val="002224DB"/>
    <w:rsid w:val="00223FCB"/>
    <w:rsid w:val="00224D64"/>
    <w:rsid w:val="002252C3"/>
    <w:rsid w:val="00225C54"/>
    <w:rsid w:val="00230765"/>
    <w:rsid w:val="00230D18"/>
    <w:rsid w:val="0023116E"/>
    <w:rsid w:val="002319E4"/>
    <w:rsid w:val="00235632"/>
    <w:rsid w:val="00235872"/>
    <w:rsid w:val="00241559"/>
    <w:rsid w:val="002435B3"/>
    <w:rsid w:val="002458EB"/>
    <w:rsid w:val="00247A71"/>
    <w:rsid w:val="002500C8"/>
    <w:rsid w:val="00257543"/>
    <w:rsid w:val="0025786A"/>
    <w:rsid w:val="002617E7"/>
    <w:rsid w:val="00264228"/>
    <w:rsid w:val="00264334"/>
    <w:rsid w:val="0026473E"/>
    <w:rsid w:val="00266214"/>
    <w:rsid w:val="00267C83"/>
    <w:rsid w:val="002702A0"/>
    <w:rsid w:val="0027144F"/>
    <w:rsid w:val="00271813"/>
    <w:rsid w:val="00271F3A"/>
    <w:rsid w:val="00273278"/>
    <w:rsid w:val="002737F4"/>
    <w:rsid w:val="002805F5"/>
    <w:rsid w:val="00280751"/>
    <w:rsid w:val="00282779"/>
    <w:rsid w:val="0028280A"/>
    <w:rsid w:val="00286ACD"/>
    <w:rsid w:val="00287838"/>
    <w:rsid w:val="002907B5"/>
    <w:rsid w:val="00292EB7"/>
    <w:rsid w:val="0029371C"/>
    <w:rsid w:val="002952B8"/>
    <w:rsid w:val="00296227"/>
    <w:rsid w:val="00296F44"/>
    <w:rsid w:val="0029777D"/>
    <w:rsid w:val="002A055E"/>
    <w:rsid w:val="002A1D4E"/>
    <w:rsid w:val="002A2869"/>
    <w:rsid w:val="002A3775"/>
    <w:rsid w:val="002A3BED"/>
    <w:rsid w:val="002A7A3C"/>
    <w:rsid w:val="002B24D6"/>
    <w:rsid w:val="002B4175"/>
    <w:rsid w:val="002B46E2"/>
    <w:rsid w:val="002C41E6"/>
    <w:rsid w:val="002D071A"/>
    <w:rsid w:val="002D34B2"/>
    <w:rsid w:val="002D48B0"/>
    <w:rsid w:val="002D5B37"/>
    <w:rsid w:val="002D7637"/>
    <w:rsid w:val="002E17F2"/>
    <w:rsid w:val="002E7CAE"/>
    <w:rsid w:val="002F2771"/>
    <w:rsid w:val="002F37A9"/>
    <w:rsid w:val="002F4897"/>
    <w:rsid w:val="00301CE6"/>
    <w:rsid w:val="0030256B"/>
    <w:rsid w:val="0030501F"/>
    <w:rsid w:val="00307BA1"/>
    <w:rsid w:val="00311702"/>
    <w:rsid w:val="00311E82"/>
    <w:rsid w:val="00313FD6"/>
    <w:rsid w:val="003143BD"/>
    <w:rsid w:val="00315363"/>
    <w:rsid w:val="003203ED"/>
    <w:rsid w:val="00322C9F"/>
    <w:rsid w:val="00324D23"/>
    <w:rsid w:val="00330E46"/>
    <w:rsid w:val="00331751"/>
    <w:rsid w:val="00334579"/>
    <w:rsid w:val="00335858"/>
    <w:rsid w:val="00336BDA"/>
    <w:rsid w:val="00337352"/>
    <w:rsid w:val="00342BD7"/>
    <w:rsid w:val="00346DB5"/>
    <w:rsid w:val="003477B1"/>
    <w:rsid w:val="0035040A"/>
    <w:rsid w:val="00357380"/>
    <w:rsid w:val="00357CC4"/>
    <w:rsid w:val="003602D9"/>
    <w:rsid w:val="003604CE"/>
    <w:rsid w:val="003620EE"/>
    <w:rsid w:val="00370E47"/>
    <w:rsid w:val="00373657"/>
    <w:rsid w:val="003742AC"/>
    <w:rsid w:val="00377CE1"/>
    <w:rsid w:val="00381C29"/>
    <w:rsid w:val="00385BF0"/>
    <w:rsid w:val="003939FF"/>
    <w:rsid w:val="003A2223"/>
    <w:rsid w:val="003A2A0F"/>
    <w:rsid w:val="003A45A1"/>
    <w:rsid w:val="003A5B0A"/>
    <w:rsid w:val="003A6BAC"/>
    <w:rsid w:val="003A70A4"/>
    <w:rsid w:val="003A7EF3"/>
    <w:rsid w:val="003B090F"/>
    <w:rsid w:val="003B159C"/>
    <w:rsid w:val="003B303E"/>
    <w:rsid w:val="003B369F"/>
    <w:rsid w:val="003B36A3"/>
    <w:rsid w:val="003B64BB"/>
    <w:rsid w:val="003B7FE5"/>
    <w:rsid w:val="003C11C8"/>
    <w:rsid w:val="003C2702"/>
    <w:rsid w:val="003C7806"/>
    <w:rsid w:val="003D109F"/>
    <w:rsid w:val="003D2478"/>
    <w:rsid w:val="003D3C45"/>
    <w:rsid w:val="003D5B1F"/>
    <w:rsid w:val="003E15FA"/>
    <w:rsid w:val="003E44B6"/>
    <w:rsid w:val="003E55E4"/>
    <w:rsid w:val="003E74E3"/>
    <w:rsid w:val="003F05C7"/>
    <w:rsid w:val="003F2CD4"/>
    <w:rsid w:val="003F6BBE"/>
    <w:rsid w:val="003F7D3C"/>
    <w:rsid w:val="004000E8"/>
    <w:rsid w:val="00401CA4"/>
    <w:rsid w:val="00402E2B"/>
    <w:rsid w:val="00403245"/>
    <w:rsid w:val="0040512B"/>
    <w:rsid w:val="00405CA5"/>
    <w:rsid w:val="00406478"/>
    <w:rsid w:val="00406E3C"/>
    <w:rsid w:val="00407CD3"/>
    <w:rsid w:val="00410134"/>
    <w:rsid w:val="00410B72"/>
    <w:rsid w:val="00410F18"/>
    <w:rsid w:val="0041263E"/>
    <w:rsid w:val="00413AAC"/>
    <w:rsid w:val="00413E92"/>
    <w:rsid w:val="00421105"/>
    <w:rsid w:val="00422AA4"/>
    <w:rsid w:val="004242F4"/>
    <w:rsid w:val="004252F0"/>
    <w:rsid w:val="00427248"/>
    <w:rsid w:val="00437447"/>
    <w:rsid w:val="00441A92"/>
    <w:rsid w:val="004431DC"/>
    <w:rsid w:val="00444F56"/>
    <w:rsid w:val="00446488"/>
    <w:rsid w:val="004517AA"/>
    <w:rsid w:val="00452CAC"/>
    <w:rsid w:val="00453281"/>
    <w:rsid w:val="00457565"/>
    <w:rsid w:val="00457B71"/>
    <w:rsid w:val="004669E2"/>
    <w:rsid w:val="00467505"/>
    <w:rsid w:val="00470C31"/>
    <w:rsid w:val="00471DE0"/>
    <w:rsid w:val="004734D0"/>
    <w:rsid w:val="00473564"/>
    <w:rsid w:val="0047556B"/>
    <w:rsid w:val="00475698"/>
    <w:rsid w:val="00477768"/>
    <w:rsid w:val="00492BC5"/>
    <w:rsid w:val="00492F8F"/>
    <w:rsid w:val="004964F1"/>
    <w:rsid w:val="004A16BC"/>
    <w:rsid w:val="004A2B94"/>
    <w:rsid w:val="004A6DCE"/>
    <w:rsid w:val="004B254B"/>
    <w:rsid w:val="004B6F6A"/>
    <w:rsid w:val="004B7C0C"/>
    <w:rsid w:val="004C3898"/>
    <w:rsid w:val="004D36B1"/>
    <w:rsid w:val="004D7EBD"/>
    <w:rsid w:val="004E061E"/>
    <w:rsid w:val="004E0ADC"/>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CC1"/>
    <w:rsid w:val="00546970"/>
    <w:rsid w:val="00546F1A"/>
    <w:rsid w:val="00554E19"/>
    <w:rsid w:val="0056121F"/>
    <w:rsid w:val="00564D0E"/>
    <w:rsid w:val="00572505"/>
    <w:rsid w:val="00573EBC"/>
    <w:rsid w:val="00574098"/>
    <w:rsid w:val="0057613F"/>
    <w:rsid w:val="00582809"/>
    <w:rsid w:val="00585CA6"/>
    <w:rsid w:val="0058798C"/>
    <w:rsid w:val="005900FA"/>
    <w:rsid w:val="00592415"/>
    <w:rsid w:val="005935A4"/>
    <w:rsid w:val="005948C2"/>
    <w:rsid w:val="00595DCA"/>
    <w:rsid w:val="0059779B"/>
    <w:rsid w:val="005A209A"/>
    <w:rsid w:val="005A662D"/>
    <w:rsid w:val="005B1409"/>
    <w:rsid w:val="005B35D7"/>
    <w:rsid w:val="005B392A"/>
    <w:rsid w:val="005B3AA3"/>
    <w:rsid w:val="005B6F83"/>
    <w:rsid w:val="005C74FB"/>
    <w:rsid w:val="005D0357"/>
    <w:rsid w:val="005D1602"/>
    <w:rsid w:val="005E25E5"/>
    <w:rsid w:val="005E385F"/>
    <w:rsid w:val="005E5B81"/>
    <w:rsid w:val="005F2CB1"/>
    <w:rsid w:val="005F3025"/>
    <w:rsid w:val="005F618C"/>
    <w:rsid w:val="005F70BD"/>
    <w:rsid w:val="005F7FA7"/>
    <w:rsid w:val="0060283C"/>
    <w:rsid w:val="00604F14"/>
    <w:rsid w:val="00611B83"/>
    <w:rsid w:val="006126BE"/>
    <w:rsid w:val="00612A02"/>
    <w:rsid w:val="00613257"/>
    <w:rsid w:val="00615DDB"/>
    <w:rsid w:val="00620A71"/>
    <w:rsid w:val="00620D80"/>
    <w:rsid w:val="00621BED"/>
    <w:rsid w:val="006234A6"/>
    <w:rsid w:val="00626C82"/>
    <w:rsid w:val="00630001"/>
    <w:rsid w:val="006311B3"/>
    <w:rsid w:val="0063284C"/>
    <w:rsid w:val="00636398"/>
    <w:rsid w:val="006368D3"/>
    <w:rsid w:val="006377EC"/>
    <w:rsid w:val="006403D7"/>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B21"/>
    <w:rsid w:val="006627A2"/>
    <w:rsid w:val="00663245"/>
    <w:rsid w:val="006634E6"/>
    <w:rsid w:val="00664489"/>
    <w:rsid w:val="006655EE"/>
    <w:rsid w:val="00667EE7"/>
    <w:rsid w:val="00670922"/>
    <w:rsid w:val="00670BE1"/>
    <w:rsid w:val="0067218F"/>
    <w:rsid w:val="006741F2"/>
    <w:rsid w:val="0067458B"/>
    <w:rsid w:val="00674CC3"/>
    <w:rsid w:val="00675699"/>
    <w:rsid w:val="00675C72"/>
    <w:rsid w:val="006771F9"/>
    <w:rsid w:val="006776D7"/>
    <w:rsid w:val="00681003"/>
    <w:rsid w:val="006817C9"/>
    <w:rsid w:val="00683ECE"/>
    <w:rsid w:val="00684AE2"/>
    <w:rsid w:val="00685C19"/>
    <w:rsid w:val="0069258B"/>
    <w:rsid w:val="00695FC2"/>
    <w:rsid w:val="00696949"/>
    <w:rsid w:val="00697052"/>
    <w:rsid w:val="006A46FB"/>
    <w:rsid w:val="006A5E28"/>
    <w:rsid w:val="006A697B"/>
    <w:rsid w:val="006A7AFF"/>
    <w:rsid w:val="006B0B6B"/>
    <w:rsid w:val="006B1816"/>
    <w:rsid w:val="006B2099"/>
    <w:rsid w:val="006B2C7D"/>
    <w:rsid w:val="006B50CF"/>
    <w:rsid w:val="006C03B8"/>
    <w:rsid w:val="006C5EC9"/>
    <w:rsid w:val="006C6059"/>
    <w:rsid w:val="006C7522"/>
    <w:rsid w:val="006D4949"/>
    <w:rsid w:val="006D6F08"/>
    <w:rsid w:val="006E062C"/>
    <w:rsid w:val="006E1C82"/>
    <w:rsid w:val="006E28B7"/>
    <w:rsid w:val="006E2A9B"/>
    <w:rsid w:val="006E3310"/>
    <w:rsid w:val="006E39F7"/>
    <w:rsid w:val="006E4E39"/>
    <w:rsid w:val="006E565E"/>
    <w:rsid w:val="006E673D"/>
    <w:rsid w:val="006E7D3B"/>
    <w:rsid w:val="006F1B70"/>
    <w:rsid w:val="006F341D"/>
    <w:rsid w:val="006F3CDE"/>
    <w:rsid w:val="006F58D4"/>
    <w:rsid w:val="006F6582"/>
    <w:rsid w:val="006F72C2"/>
    <w:rsid w:val="006F7E9C"/>
    <w:rsid w:val="0070346E"/>
    <w:rsid w:val="00703D57"/>
    <w:rsid w:val="007046E8"/>
    <w:rsid w:val="00704EDB"/>
    <w:rsid w:val="00705819"/>
    <w:rsid w:val="00705D63"/>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1A70"/>
    <w:rsid w:val="00756421"/>
    <w:rsid w:val="007571E1"/>
    <w:rsid w:val="00757A16"/>
    <w:rsid w:val="007604B2"/>
    <w:rsid w:val="007636B1"/>
    <w:rsid w:val="00764173"/>
    <w:rsid w:val="00765281"/>
    <w:rsid w:val="00766BAD"/>
    <w:rsid w:val="00770363"/>
    <w:rsid w:val="007729A2"/>
    <w:rsid w:val="007755F2"/>
    <w:rsid w:val="00776971"/>
    <w:rsid w:val="00780A80"/>
    <w:rsid w:val="0078177E"/>
    <w:rsid w:val="0078304C"/>
    <w:rsid w:val="00783673"/>
    <w:rsid w:val="00785490"/>
    <w:rsid w:val="00791415"/>
    <w:rsid w:val="007925EA"/>
    <w:rsid w:val="00793CD8"/>
    <w:rsid w:val="00795160"/>
    <w:rsid w:val="00795C92"/>
    <w:rsid w:val="00796231"/>
    <w:rsid w:val="007A1CB3"/>
    <w:rsid w:val="007A306F"/>
    <w:rsid w:val="007A43A6"/>
    <w:rsid w:val="007A58A6"/>
    <w:rsid w:val="007A5F65"/>
    <w:rsid w:val="007B1CBF"/>
    <w:rsid w:val="007B3D2D"/>
    <w:rsid w:val="007B50AE"/>
    <w:rsid w:val="007B51DF"/>
    <w:rsid w:val="007C028F"/>
    <w:rsid w:val="007C05DD"/>
    <w:rsid w:val="007C3D18"/>
    <w:rsid w:val="007C60BF"/>
    <w:rsid w:val="007C6A07"/>
    <w:rsid w:val="007C75A1"/>
    <w:rsid w:val="007C77A5"/>
    <w:rsid w:val="007D04E5"/>
    <w:rsid w:val="007D5901"/>
    <w:rsid w:val="007D6D63"/>
    <w:rsid w:val="007D7526"/>
    <w:rsid w:val="007E2CF2"/>
    <w:rsid w:val="007E4610"/>
    <w:rsid w:val="007E4715"/>
    <w:rsid w:val="007E505B"/>
    <w:rsid w:val="007E7091"/>
    <w:rsid w:val="007F030B"/>
    <w:rsid w:val="007F1AE3"/>
    <w:rsid w:val="00803DC4"/>
    <w:rsid w:val="00803FAE"/>
    <w:rsid w:val="0080605F"/>
    <w:rsid w:val="00806BE3"/>
    <w:rsid w:val="00807786"/>
    <w:rsid w:val="00811FCB"/>
    <w:rsid w:val="008158D6"/>
    <w:rsid w:val="00817196"/>
    <w:rsid w:val="008235DB"/>
    <w:rsid w:val="00823A01"/>
    <w:rsid w:val="00824AB4"/>
    <w:rsid w:val="00825C42"/>
    <w:rsid w:val="00825D25"/>
    <w:rsid w:val="00827D6F"/>
    <w:rsid w:val="00832E73"/>
    <w:rsid w:val="008332D6"/>
    <w:rsid w:val="008376AC"/>
    <w:rsid w:val="008444E8"/>
    <w:rsid w:val="00844E80"/>
    <w:rsid w:val="008461C2"/>
    <w:rsid w:val="00846FE7"/>
    <w:rsid w:val="0084782E"/>
    <w:rsid w:val="00856911"/>
    <w:rsid w:val="008677FD"/>
    <w:rsid w:val="008706D4"/>
    <w:rsid w:val="00870F8A"/>
    <w:rsid w:val="0087151E"/>
    <w:rsid w:val="008719A4"/>
    <w:rsid w:val="00871D23"/>
    <w:rsid w:val="00872070"/>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1C"/>
    <w:rsid w:val="008A77D8"/>
    <w:rsid w:val="008B0483"/>
    <w:rsid w:val="008B120C"/>
    <w:rsid w:val="008B51A0"/>
    <w:rsid w:val="008B592A"/>
    <w:rsid w:val="008B7B5C"/>
    <w:rsid w:val="008C0C99"/>
    <w:rsid w:val="008C2017"/>
    <w:rsid w:val="008C3F80"/>
    <w:rsid w:val="008C4958"/>
    <w:rsid w:val="008C4BAA"/>
    <w:rsid w:val="008C6AE8"/>
    <w:rsid w:val="008C7573"/>
    <w:rsid w:val="008D00A5"/>
    <w:rsid w:val="008D2B7D"/>
    <w:rsid w:val="008D34F1"/>
    <w:rsid w:val="008D39D8"/>
    <w:rsid w:val="008D6252"/>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33A"/>
    <w:rsid w:val="009557B3"/>
    <w:rsid w:val="0095681E"/>
    <w:rsid w:val="009572D4"/>
    <w:rsid w:val="00961921"/>
    <w:rsid w:val="0096430A"/>
    <w:rsid w:val="0096554B"/>
    <w:rsid w:val="0096584A"/>
    <w:rsid w:val="00967A52"/>
    <w:rsid w:val="00971F08"/>
    <w:rsid w:val="0097603D"/>
    <w:rsid w:val="00976949"/>
    <w:rsid w:val="00980477"/>
    <w:rsid w:val="00982257"/>
    <w:rsid w:val="00983BB8"/>
    <w:rsid w:val="00984670"/>
    <w:rsid w:val="00985253"/>
    <w:rsid w:val="009853B3"/>
    <w:rsid w:val="00990630"/>
    <w:rsid w:val="00991761"/>
    <w:rsid w:val="00994DCA"/>
    <w:rsid w:val="009960EC"/>
    <w:rsid w:val="009970DD"/>
    <w:rsid w:val="009A0FBA"/>
    <w:rsid w:val="009A1601"/>
    <w:rsid w:val="009A3BB6"/>
    <w:rsid w:val="009A462D"/>
    <w:rsid w:val="009A521A"/>
    <w:rsid w:val="009A5CBA"/>
    <w:rsid w:val="009B1F30"/>
    <w:rsid w:val="009B29E1"/>
    <w:rsid w:val="009B3AC2"/>
    <w:rsid w:val="009B4DF4"/>
    <w:rsid w:val="009B564E"/>
    <w:rsid w:val="009B6207"/>
    <w:rsid w:val="009B7E87"/>
    <w:rsid w:val="009C0169"/>
    <w:rsid w:val="009C0789"/>
    <w:rsid w:val="009C403E"/>
    <w:rsid w:val="009D4FF0"/>
    <w:rsid w:val="009D703C"/>
    <w:rsid w:val="009D718F"/>
    <w:rsid w:val="009D7652"/>
    <w:rsid w:val="009E068F"/>
    <w:rsid w:val="009E14E0"/>
    <w:rsid w:val="009E35DB"/>
    <w:rsid w:val="009E47A3"/>
    <w:rsid w:val="009F06BA"/>
    <w:rsid w:val="009F08F3"/>
    <w:rsid w:val="009F344F"/>
    <w:rsid w:val="00A031D8"/>
    <w:rsid w:val="00A0332E"/>
    <w:rsid w:val="00A048A8"/>
    <w:rsid w:val="00A04F49"/>
    <w:rsid w:val="00A13AB2"/>
    <w:rsid w:val="00A13E54"/>
    <w:rsid w:val="00A16500"/>
    <w:rsid w:val="00A17F63"/>
    <w:rsid w:val="00A2193B"/>
    <w:rsid w:val="00A2351A"/>
    <w:rsid w:val="00A264A9"/>
    <w:rsid w:val="00A26DCF"/>
    <w:rsid w:val="00A27785"/>
    <w:rsid w:val="00A30187"/>
    <w:rsid w:val="00A3448A"/>
    <w:rsid w:val="00A36297"/>
    <w:rsid w:val="00A41E2B"/>
    <w:rsid w:val="00A45B74"/>
    <w:rsid w:val="00A52E1D"/>
    <w:rsid w:val="00A54CD5"/>
    <w:rsid w:val="00A61499"/>
    <w:rsid w:val="00A62A77"/>
    <w:rsid w:val="00A63483"/>
    <w:rsid w:val="00A657D7"/>
    <w:rsid w:val="00A660AC"/>
    <w:rsid w:val="00A67E6C"/>
    <w:rsid w:val="00A71B99"/>
    <w:rsid w:val="00A71E39"/>
    <w:rsid w:val="00A739D0"/>
    <w:rsid w:val="00A761D4"/>
    <w:rsid w:val="00A77EC4"/>
    <w:rsid w:val="00A815A8"/>
    <w:rsid w:val="00A8423D"/>
    <w:rsid w:val="00A92879"/>
    <w:rsid w:val="00A94007"/>
    <w:rsid w:val="00A9442A"/>
    <w:rsid w:val="00A9583C"/>
    <w:rsid w:val="00AA016F"/>
    <w:rsid w:val="00AA1ED6"/>
    <w:rsid w:val="00AA51D6"/>
    <w:rsid w:val="00AA63BF"/>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0816"/>
    <w:rsid w:val="00AF1C5D"/>
    <w:rsid w:val="00AF42D7"/>
    <w:rsid w:val="00B006FE"/>
    <w:rsid w:val="00B007CB"/>
    <w:rsid w:val="00B00A85"/>
    <w:rsid w:val="00B02AA9"/>
    <w:rsid w:val="00B02FA3"/>
    <w:rsid w:val="00B0382A"/>
    <w:rsid w:val="00B05084"/>
    <w:rsid w:val="00B113EB"/>
    <w:rsid w:val="00B157F9"/>
    <w:rsid w:val="00B20256"/>
    <w:rsid w:val="00B20D09"/>
    <w:rsid w:val="00B21F23"/>
    <w:rsid w:val="00B2763F"/>
    <w:rsid w:val="00B27AAC"/>
    <w:rsid w:val="00B30929"/>
    <w:rsid w:val="00B361BB"/>
    <w:rsid w:val="00B372AA"/>
    <w:rsid w:val="00B40445"/>
    <w:rsid w:val="00B409E0"/>
    <w:rsid w:val="00B41888"/>
    <w:rsid w:val="00B427B9"/>
    <w:rsid w:val="00B45A52"/>
    <w:rsid w:val="00B46175"/>
    <w:rsid w:val="00B504A2"/>
    <w:rsid w:val="00B548B7"/>
    <w:rsid w:val="00B6240C"/>
    <w:rsid w:val="00B64679"/>
    <w:rsid w:val="00B664C7"/>
    <w:rsid w:val="00B739F6"/>
    <w:rsid w:val="00B80BE9"/>
    <w:rsid w:val="00B81A6C"/>
    <w:rsid w:val="00B823BD"/>
    <w:rsid w:val="00B85DE5"/>
    <w:rsid w:val="00B90F73"/>
    <w:rsid w:val="00B91CEB"/>
    <w:rsid w:val="00B93B59"/>
    <w:rsid w:val="00B9406A"/>
    <w:rsid w:val="00BA2280"/>
    <w:rsid w:val="00BA2A08"/>
    <w:rsid w:val="00BA56D2"/>
    <w:rsid w:val="00BA76E0"/>
    <w:rsid w:val="00BB005F"/>
    <w:rsid w:val="00BB2A25"/>
    <w:rsid w:val="00BB51E9"/>
    <w:rsid w:val="00BC0FDC"/>
    <w:rsid w:val="00BC3053"/>
    <w:rsid w:val="00BC4D2E"/>
    <w:rsid w:val="00BD43CB"/>
    <w:rsid w:val="00BD48AC"/>
    <w:rsid w:val="00BD5B5F"/>
    <w:rsid w:val="00BD5F1A"/>
    <w:rsid w:val="00BE1234"/>
    <w:rsid w:val="00BE1ED4"/>
    <w:rsid w:val="00BE2FA6"/>
    <w:rsid w:val="00BE333F"/>
    <w:rsid w:val="00BE7406"/>
    <w:rsid w:val="00BE7603"/>
    <w:rsid w:val="00BF3279"/>
    <w:rsid w:val="00BF74C7"/>
    <w:rsid w:val="00C015F1"/>
    <w:rsid w:val="00C01F33"/>
    <w:rsid w:val="00C02CC6"/>
    <w:rsid w:val="00C038EB"/>
    <w:rsid w:val="00C040F7"/>
    <w:rsid w:val="00C044AB"/>
    <w:rsid w:val="00C05706"/>
    <w:rsid w:val="00C06DEE"/>
    <w:rsid w:val="00C07377"/>
    <w:rsid w:val="00C10478"/>
    <w:rsid w:val="00C12107"/>
    <w:rsid w:val="00C14D4B"/>
    <w:rsid w:val="00C154BB"/>
    <w:rsid w:val="00C1601A"/>
    <w:rsid w:val="00C21AF5"/>
    <w:rsid w:val="00C22AE3"/>
    <w:rsid w:val="00C268E6"/>
    <w:rsid w:val="00C26F9F"/>
    <w:rsid w:val="00C27074"/>
    <w:rsid w:val="00C279B5"/>
    <w:rsid w:val="00C27C45"/>
    <w:rsid w:val="00C30F0F"/>
    <w:rsid w:val="00C3719D"/>
    <w:rsid w:val="00C372D2"/>
    <w:rsid w:val="00C37CB2"/>
    <w:rsid w:val="00C42C47"/>
    <w:rsid w:val="00C473A5"/>
    <w:rsid w:val="00C54995"/>
    <w:rsid w:val="00C54D41"/>
    <w:rsid w:val="00C60783"/>
    <w:rsid w:val="00C62373"/>
    <w:rsid w:val="00C64672"/>
    <w:rsid w:val="00C70697"/>
    <w:rsid w:val="00C72093"/>
    <w:rsid w:val="00C72EF4"/>
    <w:rsid w:val="00C744FE"/>
    <w:rsid w:val="00C75D2F"/>
    <w:rsid w:val="00C767BE"/>
    <w:rsid w:val="00C76E3C"/>
    <w:rsid w:val="00C8106C"/>
    <w:rsid w:val="00C81568"/>
    <w:rsid w:val="00C86B37"/>
    <w:rsid w:val="00C9027A"/>
    <w:rsid w:val="00C9068E"/>
    <w:rsid w:val="00C92DE9"/>
    <w:rsid w:val="00C93814"/>
    <w:rsid w:val="00C93C4B"/>
    <w:rsid w:val="00C944AB"/>
    <w:rsid w:val="00C95B40"/>
    <w:rsid w:val="00C96C09"/>
    <w:rsid w:val="00CA1ED8"/>
    <w:rsid w:val="00CA4650"/>
    <w:rsid w:val="00CA56DB"/>
    <w:rsid w:val="00CB1F63"/>
    <w:rsid w:val="00CB7170"/>
    <w:rsid w:val="00CC040E"/>
    <w:rsid w:val="00CC111F"/>
    <w:rsid w:val="00CC2011"/>
    <w:rsid w:val="00CC3EA0"/>
    <w:rsid w:val="00CC7B45"/>
    <w:rsid w:val="00CD1188"/>
    <w:rsid w:val="00CD2BE9"/>
    <w:rsid w:val="00CD2ED1"/>
    <w:rsid w:val="00CD337B"/>
    <w:rsid w:val="00CE0424"/>
    <w:rsid w:val="00CE2244"/>
    <w:rsid w:val="00CE7561"/>
    <w:rsid w:val="00CF1354"/>
    <w:rsid w:val="00CF3B1F"/>
    <w:rsid w:val="00CF3BF6"/>
    <w:rsid w:val="00CF5BA2"/>
    <w:rsid w:val="00CF625B"/>
    <w:rsid w:val="00CF687E"/>
    <w:rsid w:val="00D0349B"/>
    <w:rsid w:val="00D10249"/>
    <w:rsid w:val="00D115C3"/>
    <w:rsid w:val="00D11897"/>
    <w:rsid w:val="00D12615"/>
    <w:rsid w:val="00D13135"/>
    <w:rsid w:val="00D13E4E"/>
    <w:rsid w:val="00D15B02"/>
    <w:rsid w:val="00D239A7"/>
    <w:rsid w:val="00D23F47"/>
    <w:rsid w:val="00D30AC7"/>
    <w:rsid w:val="00D36E71"/>
    <w:rsid w:val="00D37D87"/>
    <w:rsid w:val="00D40B33"/>
    <w:rsid w:val="00D4318F"/>
    <w:rsid w:val="00D438BF"/>
    <w:rsid w:val="00D440F8"/>
    <w:rsid w:val="00D5239A"/>
    <w:rsid w:val="00D546FF"/>
    <w:rsid w:val="00D55AD5"/>
    <w:rsid w:val="00D576CA"/>
    <w:rsid w:val="00D61AF5"/>
    <w:rsid w:val="00D64C02"/>
    <w:rsid w:val="00D652B5"/>
    <w:rsid w:val="00D66155"/>
    <w:rsid w:val="00D70239"/>
    <w:rsid w:val="00D70521"/>
    <w:rsid w:val="00D708B0"/>
    <w:rsid w:val="00D72970"/>
    <w:rsid w:val="00D73263"/>
    <w:rsid w:val="00D77B1D"/>
    <w:rsid w:val="00D8021F"/>
    <w:rsid w:val="00D80383"/>
    <w:rsid w:val="00D823C6"/>
    <w:rsid w:val="00D8327F"/>
    <w:rsid w:val="00D86124"/>
    <w:rsid w:val="00D86CA3"/>
    <w:rsid w:val="00D871CE"/>
    <w:rsid w:val="00D87535"/>
    <w:rsid w:val="00D9196D"/>
    <w:rsid w:val="00D92329"/>
    <w:rsid w:val="00D92982"/>
    <w:rsid w:val="00D95317"/>
    <w:rsid w:val="00D97523"/>
    <w:rsid w:val="00DA1971"/>
    <w:rsid w:val="00DA305E"/>
    <w:rsid w:val="00DA5417"/>
    <w:rsid w:val="00DA56E8"/>
    <w:rsid w:val="00DA654F"/>
    <w:rsid w:val="00DB0A9F"/>
    <w:rsid w:val="00DB377D"/>
    <w:rsid w:val="00DC2401"/>
    <w:rsid w:val="00DC2D36"/>
    <w:rsid w:val="00DC53EF"/>
    <w:rsid w:val="00DC5C96"/>
    <w:rsid w:val="00DD0340"/>
    <w:rsid w:val="00DD2DE6"/>
    <w:rsid w:val="00DD4460"/>
    <w:rsid w:val="00DE1DBA"/>
    <w:rsid w:val="00DE5608"/>
    <w:rsid w:val="00DE58D0"/>
    <w:rsid w:val="00DE61B5"/>
    <w:rsid w:val="00DE654F"/>
    <w:rsid w:val="00DF0B6E"/>
    <w:rsid w:val="00DF15E0"/>
    <w:rsid w:val="00DF37A0"/>
    <w:rsid w:val="00DF4FA2"/>
    <w:rsid w:val="00DF5030"/>
    <w:rsid w:val="00E10F3A"/>
    <w:rsid w:val="00E110E7"/>
    <w:rsid w:val="00E11B20"/>
    <w:rsid w:val="00E12664"/>
    <w:rsid w:val="00E17FA2"/>
    <w:rsid w:val="00E22330"/>
    <w:rsid w:val="00E2686B"/>
    <w:rsid w:val="00E26E97"/>
    <w:rsid w:val="00E3037A"/>
    <w:rsid w:val="00E30732"/>
    <w:rsid w:val="00E30B5A"/>
    <w:rsid w:val="00E3123D"/>
    <w:rsid w:val="00E31461"/>
    <w:rsid w:val="00E31D43"/>
    <w:rsid w:val="00E32608"/>
    <w:rsid w:val="00E34188"/>
    <w:rsid w:val="00E34B6E"/>
    <w:rsid w:val="00E352EF"/>
    <w:rsid w:val="00E35559"/>
    <w:rsid w:val="00E35746"/>
    <w:rsid w:val="00E3723A"/>
    <w:rsid w:val="00E37860"/>
    <w:rsid w:val="00E37862"/>
    <w:rsid w:val="00E446F1"/>
    <w:rsid w:val="00E46886"/>
    <w:rsid w:val="00E47AEF"/>
    <w:rsid w:val="00E50EBC"/>
    <w:rsid w:val="00E53B75"/>
    <w:rsid w:val="00E54E3B"/>
    <w:rsid w:val="00E57565"/>
    <w:rsid w:val="00E63838"/>
    <w:rsid w:val="00E64434"/>
    <w:rsid w:val="00E6763B"/>
    <w:rsid w:val="00E67C51"/>
    <w:rsid w:val="00E70729"/>
    <w:rsid w:val="00E72EFC"/>
    <w:rsid w:val="00E758EC"/>
    <w:rsid w:val="00E80BE9"/>
    <w:rsid w:val="00E8234C"/>
    <w:rsid w:val="00E83AA9"/>
    <w:rsid w:val="00E85356"/>
    <w:rsid w:val="00E85928"/>
    <w:rsid w:val="00E87822"/>
    <w:rsid w:val="00E90395"/>
    <w:rsid w:val="00E90E49"/>
    <w:rsid w:val="00E917F9"/>
    <w:rsid w:val="00E9291C"/>
    <w:rsid w:val="00E93FFE"/>
    <w:rsid w:val="00E94F8A"/>
    <w:rsid w:val="00EA2379"/>
    <w:rsid w:val="00EA7A41"/>
    <w:rsid w:val="00EB077B"/>
    <w:rsid w:val="00EB1E36"/>
    <w:rsid w:val="00EB2317"/>
    <w:rsid w:val="00EB4EA2"/>
    <w:rsid w:val="00EB5211"/>
    <w:rsid w:val="00EB5A4E"/>
    <w:rsid w:val="00EC09FE"/>
    <w:rsid w:val="00EC24D5"/>
    <w:rsid w:val="00EC27C6"/>
    <w:rsid w:val="00EC4207"/>
    <w:rsid w:val="00EC4644"/>
    <w:rsid w:val="00EC5234"/>
    <w:rsid w:val="00EC5653"/>
    <w:rsid w:val="00EC71CE"/>
    <w:rsid w:val="00ED1006"/>
    <w:rsid w:val="00EE5F9C"/>
    <w:rsid w:val="00EF09F7"/>
    <w:rsid w:val="00EF18FE"/>
    <w:rsid w:val="00EF5787"/>
    <w:rsid w:val="00EF60D0"/>
    <w:rsid w:val="00F00373"/>
    <w:rsid w:val="00F0528D"/>
    <w:rsid w:val="00F068F2"/>
    <w:rsid w:val="00F06C67"/>
    <w:rsid w:val="00F06DFD"/>
    <w:rsid w:val="00F071D1"/>
    <w:rsid w:val="00F07533"/>
    <w:rsid w:val="00F07FBF"/>
    <w:rsid w:val="00F10629"/>
    <w:rsid w:val="00F15FA5"/>
    <w:rsid w:val="00F16DCF"/>
    <w:rsid w:val="00F209B7"/>
    <w:rsid w:val="00F20CAB"/>
    <w:rsid w:val="00F20F5C"/>
    <w:rsid w:val="00F2247B"/>
    <w:rsid w:val="00F22FAE"/>
    <w:rsid w:val="00F2376F"/>
    <w:rsid w:val="00F243D8"/>
    <w:rsid w:val="00F24688"/>
    <w:rsid w:val="00F30828"/>
    <w:rsid w:val="00F309F7"/>
    <w:rsid w:val="00F313D6"/>
    <w:rsid w:val="00F36B0F"/>
    <w:rsid w:val="00F40F0C"/>
    <w:rsid w:val="00F4766C"/>
    <w:rsid w:val="00F5060E"/>
    <w:rsid w:val="00F507D1"/>
    <w:rsid w:val="00F519CE"/>
    <w:rsid w:val="00F51ADA"/>
    <w:rsid w:val="00F51FBA"/>
    <w:rsid w:val="00F60203"/>
    <w:rsid w:val="00F607C5"/>
    <w:rsid w:val="00F60DEA"/>
    <w:rsid w:val="00F6302A"/>
    <w:rsid w:val="00F63950"/>
    <w:rsid w:val="00F64C2B"/>
    <w:rsid w:val="00F651BE"/>
    <w:rsid w:val="00F67F53"/>
    <w:rsid w:val="00F703BE"/>
    <w:rsid w:val="00F71C0A"/>
    <w:rsid w:val="00F71F69"/>
    <w:rsid w:val="00F72B72"/>
    <w:rsid w:val="00F74BB9"/>
    <w:rsid w:val="00F75582"/>
    <w:rsid w:val="00F76EFA"/>
    <w:rsid w:val="00F804BE"/>
    <w:rsid w:val="00F817CE"/>
    <w:rsid w:val="00F8213A"/>
    <w:rsid w:val="00F83D40"/>
    <w:rsid w:val="00F8456C"/>
    <w:rsid w:val="00F85820"/>
    <w:rsid w:val="00F859D8"/>
    <w:rsid w:val="00F868F5"/>
    <w:rsid w:val="00F9056A"/>
    <w:rsid w:val="00F90F8D"/>
    <w:rsid w:val="00F92782"/>
    <w:rsid w:val="00F93AA9"/>
    <w:rsid w:val="00F96985"/>
    <w:rsid w:val="00F97838"/>
    <w:rsid w:val="00FA0BC1"/>
    <w:rsid w:val="00FA2BB3"/>
    <w:rsid w:val="00FA4C63"/>
    <w:rsid w:val="00FA5AD7"/>
    <w:rsid w:val="00FB1AE1"/>
    <w:rsid w:val="00FB1F28"/>
    <w:rsid w:val="00FB2ED5"/>
    <w:rsid w:val="00FB4C80"/>
    <w:rsid w:val="00FB6A6A"/>
    <w:rsid w:val="00FC7429"/>
    <w:rsid w:val="00FD07F6"/>
    <w:rsid w:val="00FD1EC8"/>
    <w:rsid w:val="00FD3EB7"/>
    <w:rsid w:val="00FD47ED"/>
    <w:rsid w:val="00FD74DB"/>
    <w:rsid w:val="00FD7660"/>
    <w:rsid w:val="00FE0655"/>
    <w:rsid w:val="00FE2351"/>
    <w:rsid w:val="00FE2365"/>
    <w:rsid w:val="00FE37D7"/>
    <w:rsid w:val="00FE4C7B"/>
    <w:rsid w:val="00FE7336"/>
    <w:rsid w:val="00FE787C"/>
    <w:rsid w:val="00FF001B"/>
    <w:rsid w:val="00FF2AAE"/>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677A16E"/>
  <w15:chartTrackingRefBased/>
  <w15:docId w15:val="{229E7125-EAD1-4703-B03B-F7D83C30A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bodytext">
    <w:name w:val="IvD bodytext"/>
    <w:basedOn w:val="BodyText"/>
    <w:link w:val="IvDbodytextChar"/>
    <w:qFormat/>
    <w:rsid w:val="00166A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66AFD"/>
    <w:rPr>
      <w:rFonts w:ascii="Arial" w:eastAsia="SimSun" w:hAnsi="Arial"/>
      <w:spacing w:val="2"/>
      <w:lang w:val="en-US" w:eastAsia="en-US"/>
    </w:rPr>
  </w:style>
  <w:style w:type="character" w:customStyle="1" w:styleId="normaltextrun">
    <w:name w:val="normaltextrun"/>
    <w:basedOn w:val="DefaultParagraphFont"/>
    <w:rsid w:val="00F20CAB"/>
  </w:style>
  <w:style w:type="character" w:customStyle="1" w:styleId="eop">
    <w:name w:val="eop"/>
    <w:basedOn w:val="DefaultParagraphFont"/>
    <w:rsid w:val="00F20CAB"/>
  </w:style>
  <w:style w:type="paragraph" w:styleId="Revision">
    <w:name w:val="Revision"/>
    <w:hidden/>
    <w:uiPriority w:val="99"/>
    <w:semiHidden/>
    <w:rsid w:val="00C27074"/>
    <w:rPr>
      <w:rFonts w:ascii="Times New Roman" w:hAnsi="Times New Roman"/>
      <w:lang w:eastAsia="ja-JP"/>
    </w:rPr>
  </w:style>
  <w:style w:type="paragraph" w:customStyle="1" w:styleId="Agreement">
    <w:name w:val="Agreement"/>
    <w:basedOn w:val="Normal"/>
    <w:next w:val="Normal"/>
    <w:qFormat/>
    <w:rsid w:val="00FA5AD7"/>
    <w:pPr>
      <w:numPr>
        <w:numId w:val="29"/>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Normal"/>
    <w:uiPriority w:val="99"/>
    <w:qFormat/>
    <w:rsid w:val="006644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86553">
      <w:bodyDiv w:val="1"/>
      <w:marLeft w:val="0"/>
      <w:marRight w:val="0"/>
      <w:marTop w:val="0"/>
      <w:marBottom w:val="0"/>
      <w:divBdr>
        <w:top w:val="none" w:sz="0" w:space="0" w:color="auto"/>
        <w:left w:val="none" w:sz="0" w:space="0" w:color="auto"/>
        <w:bottom w:val="none" w:sz="0" w:space="0" w:color="auto"/>
        <w:right w:val="none" w:sz="0" w:space="0" w:color="auto"/>
      </w:divBdr>
    </w:div>
    <w:div w:id="138039402">
      <w:bodyDiv w:val="1"/>
      <w:marLeft w:val="0"/>
      <w:marRight w:val="0"/>
      <w:marTop w:val="0"/>
      <w:marBottom w:val="0"/>
      <w:divBdr>
        <w:top w:val="none" w:sz="0" w:space="0" w:color="auto"/>
        <w:left w:val="none" w:sz="0" w:space="0" w:color="auto"/>
        <w:bottom w:val="none" w:sz="0" w:space="0" w:color="auto"/>
        <w:right w:val="none" w:sz="0" w:space="0" w:color="auto"/>
      </w:divBdr>
    </w:div>
    <w:div w:id="229966359">
      <w:bodyDiv w:val="1"/>
      <w:marLeft w:val="0"/>
      <w:marRight w:val="0"/>
      <w:marTop w:val="0"/>
      <w:marBottom w:val="0"/>
      <w:divBdr>
        <w:top w:val="none" w:sz="0" w:space="0" w:color="auto"/>
        <w:left w:val="none" w:sz="0" w:space="0" w:color="auto"/>
        <w:bottom w:val="none" w:sz="0" w:space="0" w:color="auto"/>
        <w:right w:val="none" w:sz="0" w:space="0" w:color="auto"/>
      </w:divBdr>
    </w:div>
    <w:div w:id="326829134">
      <w:bodyDiv w:val="1"/>
      <w:marLeft w:val="0"/>
      <w:marRight w:val="0"/>
      <w:marTop w:val="0"/>
      <w:marBottom w:val="0"/>
      <w:divBdr>
        <w:top w:val="none" w:sz="0" w:space="0" w:color="auto"/>
        <w:left w:val="none" w:sz="0" w:space="0" w:color="auto"/>
        <w:bottom w:val="none" w:sz="0" w:space="0" w:color="auto"/>
        <w:right w:val="none" w:sz="0" w:space="0" w:color="auto"/>
      </w:divBdr>
    </w:div>
    <w:div w:id="683357865">
      <w:bodyDiv w:val="1"/>
      <w:marLeft w:val="0"/>
      <w:marRight w:val="0"/>
      <w:marTop w:val="0"/>
      <w:marBottom w:val="0"/>
      <w:divBdr>
        <w:top w:val="none" w:sz="0" w:space="0" w:color="auto"/>
        <w:left w:val="none" w:sz="0" w:space="0" w:color="auto"/>
        <w:bottom w:val="none" w:sz="0" w:space="0" w:color="auto"/>
        <w:right w:val="none" w:sz="0" w:space="0" w:color="auto"/>
      </w:divBdr>
    </w:div>
    <w:div w:id="842209747">
      <w:bodyDiv w:val="1"/>
      <w:marLeft w:val="0"/>
      <w:marRight w:val="0"/>
      <w:marTop w:val="0"/>
      <w:marBottom w:val="0"/>
      <w:divBdr>
        <w:top w:val="none" w:sz="0" w:space="0" w:color="auto"/>
        <w:left w:val="none" w:sz="0" w:space="0" w:color="auto"/>
        <w:bottom w:val="none" w:sz="0" w:space="0" w:color="auto"/>
        <w:right w:val="none" w:sz="0" w:space="0" w:color="auto"/>
      </w:divBdr>
    </w:div>
    <w:div w:id="1073895785">
      <w:bodyDiv w:val="1"/>
      <w:marLeft w:val="0"/>
      <w:marRight w:val="0"/>
      <w:marTop w:val="0"/>
      <w:marBottom w:val="0"/>
      <w:divBdr>
        <w:top w:val="none" w:sz="0" w:space="0" w:color="auto"/>
        <w:left w:val="none" w:sz="0" w:space="0" w:color="auto"/>
        <w:bottom w:val="none" w:sz="0" w:space="0" w:color="auto"/>
        <w:right w:val="none" w:sz="0" w:space="0" w:color="auto"/>
      </w:divBdr>
    </w:div>
    <w:div w:id="1595476555">
      <w:bodyDiv w:val="1"/>
      <w:marLeft w:val="0"/>
      <w:marRight w:val="0"/>
      <w:marTop w:val="0"/>
      <w:marBottom w:val="0"/>
      <w:divBdr>
        <w:top w:val="none" w:sz="0" w:space="0" w:color="auto"/>
        <w:left w:val="none" w:sz="0" w:space="0" w:color="auto"/>
        <w:bottom w:val="none" w:sz="0" w:space="0" w:color="auto"/>
        <w:right w:val="none" w:sz="0" w:space="0" w:color="auto"/>
      </w:divBdr>
    </w:div>
    <w:div w:id="1641499079">
      <w:bodyDiv w:val="1"/>
      <w:marLeft w:val="0"/>
      <w:marRight w:val="0"/>
      <w:marTop w:val="0"/>
      <w:marBottom w:val="0"/>
      <w:divBdr>
        <w:top w:val="none" w:sz="0" w:space="0" w:color="auto"/>
        <w:left w:val="none" w:sz="0" w:space="0" w:color="auto"/>
        <w:bottom w:val="none" w:sz="0" w:space="0" w:color="auto"/>
        <w:right w:val="none" w:sz="0" w:space="0" w:color="auto"/>
      </w:divBdr>
    </w:div>
    <w:div w:id="189022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eloqstu\AppData\Local\Temp\Temp2_R2-2103925%20Ericsson.zip\R2-2103925%20RedRLF.docx"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77C41B54-62A7-44A9-8630-9A5BB28A6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161D01-158B-41E8-AE96-D28A4B360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 (2)</Template>
  <TotalTime>0</TotalTime>
  <Pages>4</Pages>
  <Words>1222</Words>
  <Characters>6480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7687</CharactersWithSpaces>
  <SharedDoc>false</SharedDoc>
  <HLinks>
    <vt:vector size="36" baseType="variant">
      <vt:variant>
        <vt:i4>1310779</vt:i4>
      </vt:variant>
      <vt:variant>
        <vt:i4>26</vt:i4>
      </vt:variant>
      <vt:variant>
        <vt:i4>0</vt:i4>
      </vt:variant>
      <vt:variant>
        <vt:i4>5</vt:i4>
      </vt:variant>
      <vt:variant>
        <vt:lpwstr/>
      </vt:variant>
      <vt:variant>
        <vt:lpwstr>_Toc66985815</vt:lpwstr>
      </vt:variant>
      <vt:variant>
        <vt:i4>1376315</vt:i4>
      </vt:variant>
      <vt:variant>
        <vt:i4>23</vt:i4>
      </vt:variant>
      <vt:variant>
        <vt:i4>0</vt:i4>
      </vt:variant>
      <vt:variant>
        <vt:i4>5</vt:i4>
      </vt:variant>
      <vt:variant>
        <vt:lpwstr/>
      </vt:variant>
      <vt:variant>
        <vt:lpwstr>_Toc66985814</vt:lpwstr>
      </vt:variant>
      <vt:variant>
        <vt:i4>1179707</vt:i4>
      </vt:variant>
      <vt:variant>
        <vt:i4>20</vt:i4>
      </vt:variant>
      <vt:variant>
        <vt:i4>0</vt:i4>
      </vt:variant>
      <vt:variant>
        <vt:i4>5</vt:i4>
      </vt:variant>
      <vt:variant>
        <vt:lpwstr/>
      </vt:variant>
      <vt:variant>
        <vt:lpwstr>_Toc66985813</vt:lpwstr>
      </vt:variant>
      <vt:variant>
        <vt:i4>1441851</vt:i4>
      </vt:variant>
      <vt:variant>
        <vt:i4>14</vt:i4>
      </vt:variant>
      <vt:variant>
        <vt:i4>0</vt:i4>
      </vt:variant>
      <vt:variant>
        <vt:i4>5</vt:i4>
      </vt:variant>
      <vt:variant>
        <vt:lpwstr/>
      </vt:variant>
      <vt:variant>
        <vt:lpwstr>_Toc66985817</vt:lpwstr>
      </vt:variant>
      <vt:variant>
        <vt:i4>1507387</vt:i4>
      </vt:variant>
      <vt:variant>
        <vt:i4>11</vt:i4>
      </vt:variant>
      <vt:variant>
        <vt:i4>0</vt:i4>
      </vt:variant>
      <vt:variant>
        <vt:i4>5</vt:i4>
      </vt:variant>
      <vt:variant>
        <vt:lpwstr/>
      </vt:variant>
      <vt:variant>
        <vt:lpwstr>_Toc66985816</vt:lpwstr>
      </vt:variant>
      <vt:variant>
        <vt:i4>1310782</vt:i4>
      </vt:variant>
      <vt:variant>
        <vt:i4>5</vt:i4>
      </vt:variant>
      <vt:variant>
        <vt:i4>0</vt:i4>
      </vt:variant>
      <vt:variant>
        <vt:i4>5</vt:i4>
      </vt:variant>
      <vt:variant>
        <vt:lpwstr/>
      </vt:variant>
      <vt:variant>
        <vt:lpwstr>_Toc46845071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2008-01-31T16:09:00Z</cp:lastPrinted>
  <dcterms:created xsi:type="dcterms:W3CDTF">2021-05-10T21:21:00Z</dcterms:created>
  <dcterms:modified xsi:type="dcterms:W3CDTF">2021-05-10T21:21:00Z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